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</w:p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  <w:r>
        <w:rPr>
          <w:noProof/>
        </w:rPr>
        <w:drawing>
          <wp:inline distT="0" distB="0" distL="0" distR="0" wp14:anchorId="3542858C" wp14:editId="540A259F">
            <wp:extent cx="790575" cy="111718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96" cy="11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Výzva k podání nabídek a zadávací dokumentace</w:t>
      </w:r>
    </w:p>
    <w:p w:rsidR="000F2306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Default="000F2306" w:rsidP="000F230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 výběrové řízení mimo režim zákona č. 134/2016 Sb., o zadávání veřejných zakázek, ve znění pozdějších předpisů, na dodavatele níže specifikované veřejné zakázky malého rozsahu. </w:t>
      </w:r>
    </w:p>
    <w:p w:rsidR="000F2306" w:rsidRDefault="000F2306" w:rsidP="000F230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</w:p>
    <w:p w:rsidR="000F2306" w:rsidRPr="00A93DEA" w:rsidRDefault="000F2306" w:rsidP="000F2306">
      <w:pPr>
        <w:ind w:right="142"/>
        <w:jc w:val="center"/>
        <w:rPr>
          <w:rFonts w:ascii="Calibri" w:hAnsi="Calibri" w:cs="Calibri"/>
          <w:b/>
          <w:sz w:val="40"/>
          <w:szCs w:val="40"/>
        </w:rPr>
      </w:pPr>
      <w:r w:rsidRPr="00A93DEA">
        <w:rPr>
          <w:rFonts w:ascii="Calibri" w:hAnsi="Calibri" w:cs="Calibri"/>
          <w:b/>
          <w:sz w:val="40"/>
          <w:szCs w:val="40"/>
        </w:rPr>
        <w:t xml:space="preserve">Veřejná zakázka malého rozsahu </w:t>
      </w:r>
    </w:p>
    <w:p w:rsidR="000F2306" w:rsidRPr="002B3ED7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Default="000F2306" w:rsidP="000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142"/>
        <w:jc w:val="center"/>
        <w:rPr>
          <w:rFonts w:ascii="Calibri" w:hAnsi="Calibri" w:cs="Calibri"/>
          <w:b/>
          <w:sz w:val="36"/>
          <w:szCs w:val="36"/>
        </w:rPr>
      </w:pPr>
      <w:r w:rsidRPr="002B3ED7">
        <w:rPr>
          <w:rFonts w:ascii="Calibri" w:hAnsi="Calibri" w:cs="Calibri"/>
          <w:b/>
          <w:caps/>
          <w:sz w:val="48"/>
          <w:szCs w:val="48"/>
        </w:rPr>
        <w:t>„</w:t>
      </w:r>
      <w:r>
        <w:rPr>
          <w:rFonts w:ascii="Calibri" w:hAnsi="Calibri" w:cs="Calibri"/>
          <w:b/>
          <w:sz w:val="36"/>
          <w:szCs w:val="36"/>
        </w:rPr>
        <w:t>Projektová dokumentace pro SP</w:t>
      </w:r>
    </w:p>
    <w:p w:rsidR="000F2306" w:rsidRPr="00A93DEA" w:rsidRDefault="000F2306" w:rsidP="000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142"/>
        <w:jc w:val="center"/>
        <w:rPr>
          <w:rFonts w:ascii="Calibri" w:hAnsi="Calibri" w:cs="Calibri"/>
          <w:b/>
          <w:caps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-  Centrum sociálních služeb Březiněves“</w:t>
      </w:r>
    </w:p>
    <w:p w:rsidR="000F2306" w:rsidRPr="002B3ED7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Zadavatel stanovil podmínky této veřejné zakázky malého rozsahu tak, aby dodržel zásady transparentnosti, rovného zacházení a zákazu diskriminace dle § 6 zákona.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Zakázka není zadávána dle zákona.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Předchozí odstavec platí i v případě, že zadavatel při této zakázce použije terminologii zákona, případně jeho část v přímé citaci. Zadavatel se v této zadávací dokumentaci odkazuje v některých ustanoveních na zákon. Tyto odkazy jsou užívány s cílem přesně specifikovat požadavky zadavatele. Na výběrové řízení se neaplikují ostatní, zde neuvedená, ustanovení zákona. Informace a údaje uvedené v jednotlivých částech zadávacích podmínek vymezují závazné požadavky zadavatele. Tyto požadavky je každý dodavatel povinen plně a bezvýhradně respektovat při zpracování své nabídky. Neakceptování požadavků zadavatele uvedených v této zadávací dokumentaci bude považováno za nesplnění zadávacích podmínek s následkem vyloučení dodavatele z účasti ve výběrovém řízení. 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>Výzva je souhrnem požadavků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75E0F">
        <w:rPr>
          <w:rFonts w:ascii="Calibri" w:hAnsi="Calibri" w:cs="Calibri"/>
          <w:sz w:val="24"/>
          <w:szCs w:val="24"/>
        </w:rPr>
        <w:t>zadavatele</w:t>
      </w:r>
      <w:proofErr w:type="gramEnd"/>
      <w:r>
        <w:rPr>
          <w:rFonts w:ascii="Calibri" w:hAnsi="Calibri" w:cs="Calibri"/>
          <w:sz w:val="24"/>
          <w:szCs w:val="24"/>
        </w:rPr>
        <w:t xml:space="preserve"> a</w:t>
      </w:r>
      <w:r w:rsidRPr="00A75E0F">
        <w:rPr>
          <w:rFonts w:ascii="Calibri" w:hAnsi="Calibri" w:cs="Calibri"/>
          <w:sz w:val="24"/>
          <w:szCs w:val="24"/>
        </w:rPr>
        <w:t xml:space="preserve"> nikoliv konečným souhrnem veškerých požadavků vyplývajících z obecně platných právních norem. Dodavatel se tak musí při zpracování své nabídky vždy řídit nejen požadavky obsaženými ve Výzvě, ale též ustanoveními příslušných obecně závazných právních předpisů.</w:t>
      </w:r>
    </w:p>
    <w:p w:rsidR="000F2306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>Dodavatelem se stává osoba, která řádně prokáže splnění kvalifikačních předpokladů a dalších podmínek stanovených touto zadávací dokumentací a předloží zadavateli nabídku.</w:t>
      </w:r>
    </w:p>
    <w:p w:rsidR="000F2306" w:rsidRPr="006E294C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6E294C">
        <w:rPr>
          <w:rFonts w:asciiTheme="minorHAnsi" w:hAnsiTheme="minorHAnsi"/>
          <w:sz w:val="24"/>
        </w:rPr>
        <w:t>Pokud se v </w:t>
      </w:r>
      <w:r>
        <w:rPr>
          <w:rFonts w:asciiTheme="minorHAnsi" w:hAnsiTheme="minorHAnsi"/>
          <w:sz w:val="24"/>
        </w:rPr>
        <w:t>z</w:t>
      </w:r>
      <w:r w:rsidRPr="006E294C">
        <w:rPr>
          <w:rFonts w:asciiTheme="minorHAnsi" w:hAnsiTheme="minorHAnsi"/>
          <w:sz w:val="24"/>
        </w:rPr>
        <w:t xml:space="preserve">adávací dokumentaci vyskytuje odkaz na určité dodavatele nebo výrobky, nebo na patenty na vynálezy, užitné vzory, průmyslové vzory, ochranné známky nebo označení původu, je to v takových případech, kdy stanovení technických podmínek nemůže být </w:t>
      </w:r>
      <w:r w:rsidRPr="006E294C">
        <w:rPr>
          <w:rFonts w:asciiTheme="minorHAnsi" w:hAnsiTheme="minorHAnsi"/>
          <w:sz w:val="24"/>
        </w:rPr>
        <w:lastRenderedPageBreak/>
        <w:t>dostatečně přesné nebo srozumitelné. U každého takového odkazu platí, že zadavatel umožňuje dodavatelům nabídnout rovnocenné řešení.</w:t>
      </w:r>
    </w:p>
    <w:p w:rsidR="000F2306" w:rsidRPr="006E294C" w:rsidRDefault="000F2306" w:rsidP="000F2306">
      <w:pPr>
        <w:spacing w:after="12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E294C">
        <w:rPr>
          <w:rFonts w:asciiTheme="minorHAnsi" w:hAnsiTheme="minorHAnsi"/>
          <w:sz w:val="24"/>
          <w:szCs w:val="24"/>
        </w:rPr>
        <w:t xml:space="preserve">Pokud zadavatel </w:t>
      </w:r>
      <w:r>
        <w:rPr>
          <w:rFonts w:asciiTheme="minorHAnsi" w:hAnsiTheme="minorHAnsi"/>
          <w:sz w:val="24"/>
          <w:szCs w:val="24"/>
        </w:rPr>
        <w:t>v z</w:t>
      </w:r>
      <w:r w:rsidRPr="006E294C">
        <w:rPr>
          <w:rFonts w:asciiTheme="minorHAnsi" w:hAnsiTheme="minorHAnsi"/>
          <w:sz w:val="24"/>
          <w:szCs w:val="24"/>
        </w:rPr>
        <w:t>adávací dokumentaci stanoví technické podmínky prostřednictvím odkazu na normy nebo technické dokumenty, zadavatel umožňuje dodavatelům nabídnout rovnocenné řešení.</w:t>
      </w:r>
    </w:p>
    <w:p w:rsidR="000F2306" w:rsidRPr="005A3C2E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</w:t>
      </w:r>
      <w:r w:rsidRPr="005A3C2E">
        <w:rPr>
          <w:rFonts w:ascii="Calibri" w:hAnsi="Calibri" w:cs="Calibri"/>
          <w:b/>
          <w:sz w:val="26"/>
          <w:szCs w:val="26"/>
        </w:rPr>
        <w:t>adavatel veřejné zakázky:</w:t>
      </w:r>
    </w:p>
    <w:p w:rsidR="000F2306" w:rsidRPr="00597CEB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 w:rsidRPr="00AE5F1C">
        <w:rPr>
          <w:rFonts w:ascii="Calibri" w:hAnsi="Calibri" w:cs="Calibri"/>
          <w:b/>
          <w:sz w:val="26"/>
          <w:szCs w:val="26"/>
        </w:rPr>
        <w:t>Název:</w:t>
      </w:r>
      <w:r w:rsidRPr="00AE5F1C"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MČ Praha – Březiněves</w:t>
      </w:r>
    </w:p>
    <w:p w:rsidR="000F2306" w:rsidRPr="00597CEB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 w:rsidRPr="00AE5F1C">
        <w:rPr>
          <w:rFonts w:ascii="Calibri" w:hAnsi="Calibri" w:cs="Calibri"/>
          <w:b/>
          <w:sz w:val="26"/>
          <w:szCs w:val="26"/>
        </w:rPr>
        <w:t>IČ</w:t>
      </w:r>
      <w:r>
        <w:rPr>
          <w:rFonts w:ascii="Calibri" w:hAnsi="Calibri" w:cs="Calibri"/>
          <w:b/>
          <w:sz w:val="26"/>
          <w:szCs w:val="26"/>
        </w:rPr>
        <w:t>O</w:t>
      </w:r>
      <w:r w:rsidRPr="00AE5F1C">
        <w:rPr>
          <w:rFonts w:ascii="Calibri" w:hAnsi="Calibri" w:cs="Calibri"/>
          <w:b/>
          <w:sz w:val="26"/>
          <w:szCs w:val="26"/>
        </w:rPr>
        <w:t>:</w:t>
      </w:r>
      <w:r w:rsidRPr="00AE5F1C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00240109</w:t>
      </w:r>
    </w:p>
    <w:p w:rsidR="000F2306" w:rsidRDefault="000F2306" w:rsidP="000F2306">
      <w:pPr>
        <w:ind w:right="142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adresa</w:t>
      </w:r>
      <w:r w:rsidRPr="00AE5F1C">
        <w:rPr>
          <w:rFonts w:ascii="Calibri" w:hAnsi="Calibri" w:cs="Calibri"/>
          <w:b/>
          <w:sz w:val="26"/>
          <w:szCs w:val="26"/>
        </w:rPr>
        <w:t>:</w:t>
      </w:r>
      <w:r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U Parku 140, 182 00 Praha 8 – Březiněves</w:t>
      </w:r>
    </w:p>
    <w:p w:rsidR="000F2306" w:rsidRDefault="000F2306" w:rsidP="000F2306">
      <w:pPr>
        <w:ind w:right="142"/>
        <w:rPr>
          <w:rFonts w:ascii="Calibri" w:hAnsi="Calibri" w:cs="Calibri"/>
          <w:b/>
        </w:rPr>
      </w:pPr>
    </w:p>
    <w:p w:rsidR="000F2306" w:rsidRPr="00B81D73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B81D73">
        <w:rPr>
          <w:rFonts w:ascii="Calibri" w:hAnsi="Calibri" w:cs="Calibri"/>
          <w:sz w:val="24"/>
          <w:szCs w:val="24"/>
        </w:rPr>
        <w:t xml:space="preserve">Tato Zadávací dokumentace slouží jako podklad pro vypracování nabídek dodavatelů. Součástí Zadávací dokumentace </w:t>
      </w:r>
      <w:r>
        <w:rPr>
          <w:rFonts w:ascii="Calibri" w:hAnsi="Calibri" w:cs="Calibri"/>
          <w:sz w:val="24"/>
          <w:szCs w:val="24"/>
        </w:rPr>
        <w:t>mohou být</w:t>
      </w:r>
      <w:r w:rsidRPr="00B81D73">
        <w:rPr>
          <w:rFonts w:ascii="Calibri" w:hAnsi="Calibri" w:cs="Calibri"/>
          <w:sz w:val="24"/>
          <w:szCs w:val="24"/>
        </w:rPr>
        <w:t xml:space="preserve"> též další dokumenty obsahující zadávací podmínky, např. vysvětlení, změny a doplnění zadávacích podmínek.</w:t>
      </w:r>
    </w:p>
    <w:p w:rsidR="000F2306" w:rsidRPr="00B81D73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B81D73">
        <w:rPr>
          <w:rFonts w:ascii="Calibri" w:hAnsi="Calibri" w:cs="Calibri"/>
          <w:sz w:val="24"/>
          <w:szCs w:val="24"/>
        </w:rPr>
        <w:t xml:space="preserve">Práva a povinnosti zadavatele i dodavatelů se řídí </w:t>
      </w:r>
      <w:r>
        <w:rPr>
          <w:rFonts w:ascii="Calibri" w:hAnsi="Calibri" w:cs="Calibri"/>
          <w:sz w:val="24"/>
          <w:szCs w:val="24"/>
        </w:rPr>
        <w:t>zákona</w:t>
      </w:r>
      <w:r w:rsidRPr="00B81D73">
        <w:rPr>
          <w:rFonts w:ascii="Calibri" w:hAnsi="Calibri" w:cs="Calibri"/>
          <w:sz w:val="24"/>
          <w:szCs w:val="24"/>
        </w:rPr>
        <w:t>, který řeší práva a povinnosti v zadávacích podmínkách neuvedené a v případě konfliktu má přednost i před ustanoveními v zadávacích podmínkách uvedenými.</w:t>
      </w:r>
    </w:p>
    <w:p w:rsidR="000F2306" w:rsidRDefault="000F2306" w:rsidP="000F2306">
      <w:pPr>
        <w:ind w:right="142"/>
        <w:rPr>
          <w:rFonts w:ascii="Calibri" w:hAnsi="Calibri" w:cs="Calibri"/>
          <w:b/>
        </w:rPr>
      </w:pPr>
    </w:p>
    <w:tbl>
      <w:tblPr>
        <w:tblpPr w:leftFromText="141" w:rightFromText="141" w:vertAnchor="page" w:horzAnchor="margin" w:tblpY="17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103"/>
      </w:tblGrid>
      <w:tr w:rsidR="000F2306" w:rsidRPr="002B3ED7" w:rsidTr="00590369">
        <w:trPr>
          <w:trHeight w:val="8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F2306" w:rsidRPr="002B3ED7" w:rsidRDefault="000F2306" w:rsidP="00590369">
            <w:pPr>
              <w:shd w:val="clear" w:color="auto" w:fill="C6D9F1"/>
              <w:ind w:right="142"/>
              <w:jc w:val="both"/>
              <w:rPr>
                <w:rFonts w:ascii="Calibri" w:hAnsi="Calibri" w:cs="Calibri"/>
                <w:b/>
                <w:bCs/>
              </w:rPr>
            </w:pPr>
            <w:bookmarkStart w:id="0" w:name="_Toc216084550"/>
          </w:p>
          <w:p w:rsidR="000F2306" w:rsidRPr="005A3C2E" w:rsidRDefault="000F2306" w:rsidP="00590369">
            <w:pPr>
              <w:numPr>
                <w:ilvl w:val="0"/>
                <w:numId w:val="5"/>
              </w:numPr>
              <w:shd w:val="clear" w:color="auto" w:fill="C6D9F1"/>
              <w:ind w:left="567" w:right="142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Název veřejné zakázky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06" w:rsidRPr="006B4B8A" w:rsidRDefault="000F2306" w:rsidP="00590369">
            <w:pPr>
              <w:pStyle w:val="Bezmezer"/>
              <w:ind w:right="142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„</w:t>
            </w:r>
            <w:r>
              <w:rPr>
                <w:rFonts w:ascii="Calibri" w:hAnsi="Calibri" w:cs="Calibri"/>
                <w:b/>
              </w:rPr>
              <w:t xml:space="preserve">Projektová dokumentace pro </w:t>
            </w:r>
            <w:proofErr w:type="gramStart"/>
            <w:r>
              <w:rPr>
                <w:rFonts w:ascii="Calibri" w:hAnsi="Calibri" w:cs="Calibri"/>
                <w:b/>
              </w:rPr>
              <w:t>SP  –</w:t>
            </w:r>
            <w:proofErr w:type="gramEnd"/>
            <w:r>
              <w:rPr>
                <w:rFonts w:ascii="Calibri" w:hAnsi="Calibri" w:cs="Calibri"/>
                <w:b/>
              </w:rPr>
              <w:t xml:space="preserve"> Centrum sociálních služeb Březiněves“</w:t>
            </w:r>
            <w:r w:rsidRPr="00891B69">
              <w:rPr>
                <w:rFonts w:ascii="Calibri" w:hAnsi="Calibri" w:cs="Calibri"/>
                <w:b/>
                <w:sz w:val="40"/>
                <w:szCs w:val="36"/>
              </w:rPr>
              <w:t xml:space="preserve"> </w:t>
            </w:r>
          </w:p>
        </w:tc>
      </w:tr>
      <w:tr w:rsidR="000F2306" w:rsidRPr="002B3ED7" w:rsidTr="00590369">
        <w:trPr>
          <w:trHeight w:val="330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2306" w:rsidRPr="002B3ED7" w:rsidRDefault="000F2306" w:rsidP="00590369">
            <w:pPr>
              <w:ind w:right="142"/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0F2306" w:rsidRPr="002B3ED7" w:rsidTr="00590369">
        <w:trPr>
          <w:trHeight w:val="53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numPr>
                <w:ilvl w:val="0"/>
                <w:numId w:val="5"/>
              </w:numPr>
              <w:ind w:left="567" w:right="142" w:hanging="28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Identifikace zadavatele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2B3ED7" w:rsidRDefault="000F2306" w:rsidP="00590369">
            <w:pPr>
              <w:tabs>
                <w:tab w:val="left" w:pos="360"/>
              </w:tabs>
              <w:autoSpaceDE w:val="0"/>
              <w:autoSpaceDN w:val="0"/>
              <w:adjustRightInd w:val="0"/>
              <w:ind w:right="142"/>
              <w:jc w:val="both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0F2306" w:rsidRPr="002B3ED7" w:rsidTr="00590369">
        <w:trPr>
          <w:trHeight w:val="53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Název zadavatele: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MČ Praha – Březiněves</w:t>
            </w:r>
          </w:p>
        </w:tc>
      </w:tr>
      <w:tr w:rsidR="000F2306" w:rsidRPr="002B3ED7" w:rsidTr="00590369">
        <w:trPr>
          <w:trHeight w:val="5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Doručovací adresa</w:t>
            </w: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U Parku 140, 182 00 Praha 8 – Březiněves</w:t>
            </w:r>
          </w:p>
        </w:tc>
      </w:tr>
      <w:tr w:rsidR="000F2306" w:rsidRPr="002B3ED7" w:rsidTr="00590369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00240109</w:t>
            </w:r>
          </w:p>
        </w:tc>
      </w:tr>
      <w:tr w:rsidR="000F2306" w:rsidRPr="002B3ED7" w:rsidTr="00590369">
        <w:trPr>
          <w:trHeight w:val="5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Osoba oprávněná za zadavatele jednat: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 xml:space="preserve">Ing. Jiří Haramul, starosta městské části </w:t>
            </w:r>
          </w:p>
        </w:tc>
      </w:tr>
      <w:bookmarkEnd w:id="0"/>
    </w:tbl>
    <w:p w:rsidR="000F2306" w:rsidRPr="002B3ED7" w:rsidRDefault="000F2306" w:rsidP="000F2306">
      <w:pPr>
        <w:spacing w:line="276" w:lineRule="auto"/>
        <w:ind w:right="142"/>
        <w:jc w:val="both"/>
        <w:rPr>
          <w:rFonts w:ascii="Calibri" w:hAnsi="Calibri" w:cs="Calibri"/>
          <w:bCs/>
          <w:color w:val="000000"/>
        </w:rPr>
      </w:pPr>
    </w:p>
    <w:p w:rsidR="000F2306" w:rsidRPr="003C793F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" w:name="_Toc216084552"/>
      <w:r>
        <w:rPr>
          <w:rFonts w:ascii="Calibri" w:hAnsi="Calibri" w:cs="Calibri"/>
          <w:sz w:val="24"/>
          <w:szCs w:val="24"/>
        </w:rPr>
        <w:t>3</w:t>
      </w:r>
      <w:r w:rsidRPr="003C793F">
        <w:rPr>
          <w:rFonts w:ascii="Calibri" w:hAnsi="Calibri" w:cs="Calibri"/>
          <w:sz w:val="24"/>
          <w:szCs w:val="24"/>
        </w:rPr>
        <w:t>.   Druh řízení</w:t>
      </w:r>
      <w:bookmarkEnd w:id="1"/>
    </w:p>
    <w:p w:rsidR="000F2306" w:rsidRPr="00AE5F1C" w:rsidRDefault="000F2306" w:rsidP="000F23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E5F1C">
        <w:rPr>
          <w:rFonts w:asciiTheme="minorHAnsi" w:hAnsiTheme="minorHAnsi" w:cstheme="minorHAnsi"/>
          <w:sz w:val="24"/>
          <w:szCs w:val="24"/>
        </w:rPr>
        <w:t>Veře</w:t>
      </w:r>
      <w:r>
        <w:rPr>
          <w:rFonts w:asciiTheme="minorHAnsi" w:hAnsiTheme="minorHAnsi" w:cstheme="minorHAnsi"/>
          <w:sz w:val="24"/>
          <w:szCs w:val="24"/>
        </w:rPr>
        <w:t>jná zakázka bude zadána formou nabídkového</w:t>
      </w:r>
      <w:r w:rsidRPr="00AE5F1C">
        <w:rPr>
          <w:rFonts w:asciiTheme="minorHAnsi" w:hAnsiTheme="minorHAnsi" w:cstheme="minorHAnsi"/>
          <w:sz w:val="24"/>
          <w:szCs w:val="24"/>
        </w:rPr>
        <w:t xml:space="preserve"> řízení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E5F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2306" w:rsidRDefault="000F2306" w:rsidP="000F2306">
      <w:pPr>
        <w:pStyle w:val="Zkladntext21"/>
        <w:tabs>
          <w:tab w:val="clear" w:pos="720"/>
          <w:tab w:val="left" w:pos="708"/>
        </w:tabs>
        <w:suppressAutoHyphens/>
        <w:spacing w:after="120"/>
        <w:ind w:left="0" w:firstLine="0"/>
        <w:rPr>
          <w:rFonts w:ascii="Tahoma" w:hAnsi="Tahoma" w:cs="Tahoma"/>
          <w:bCs/>
          <w:iCs/>
          <w:sz w:val="20"/>
        </w:rPr>
      </w:pPr>
      <w:r w:rsidRPr="00AE5F1C">
        <w:rPr>
          <w:rFonts w:asciiTheme="minorHAnsi" w:hAnsiTheme="minorHAnsi" w:cstheme="minorHAnsi"/>
          <w:szCs w:val="24"/>
        </w:rPr>
        <w:t xml:space="preserve">Účelem </w:t>
      </w:r>
      <w:r>
        <w:rPr>
          <w:rFonts w:asciiTheme="minorHAnsi" w:hAnsiTheme="minorHAnsi" w:cstheme="minorHAnsi"/>
          <w:szCs w:val="24"/>
        </w:rPr>
        <w:t>výběrového</w:t>
      </w:r>
      <w:r w:rsidRPr="00AE5F1C">
        <w:rPr>
          <w:rFonts w:asciiTheme="minorHAnsi" w:hAnsiTheme="minorHAnsi" w:cstheme="minorHAnsi"/>
          <w:szCs w:val="24"/>
        </w:rPr>
        <w:t xml:space="preserve"> řízení je </w:t>
      </w:r>
      <w:r>
        <w:rPr>
          <w:rFonts w:asciiTheme="minorHAnsi" w:hAnsiTheme="minorHAnsi" w:cstheme="minorHAnsi"/>
          <w:szCs w:val="24"/>
        </w:rPr>
        <w:t>na vypracování projektové dokumentace pro stavební povolení (DSP) a dokumentace pro výběr zhotovitele (DVZ) pro rekonstrukci stávajícího areálu, který bude sloužit jako centrum sociálních služeb.</w:t>
      </w: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AE5F1C">
        <w:rPr>
          <w:rFonts w:asciiTheme="minorHAnsi" w:hAnsiTheme="minorHAnsi" w:cstheme="minorHAnsi"/>
          <w:sz w:val="24"/>
          <w:szCs w:val="24"/>
        </w:rPr>
        <w:t xml:space="preserve">Cílem je vybrat takového dodavatele, který zajistí </w:t>
      </w:r>
      <w:r>
        <w:rPr>
          <w:rFonts w:asciiTheme="minorHAnsi" w:hAnsiTheme="minorHAnsi" w:cstheme="minorHAnsi"/>
          <w:sz w:val="24"/>
          <w:szCs w:val="24"/>
        </w:rPr>
        <w:t xml:space="preserve">kompletní požadavky zadavatele. </w:t>
      </w: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BE62C2" w:rsidRDefault="000F2306" w:rsidP="000F2306">
      <w:pPr>
        <w:spacing w:after="120"/>
        <w:ind w:right="142"/>
        <w:jc w:val="both"/>
        <w:rPr>
          <w:rFonts w:ascii="Calibri" w:hAnsi="Calibri" w:cs="Calibri"/>
          <w:b/>
          <w:sz w:val="24"/>
          <w:szCs w:val="24"/>
        </w:rPr>
      </w:pPr>
    </w:p>
    <w:p w:rsidR="000F2306" w:rsidRDefault="000F2306" w:rsidP="000F2306">
      <w:pPr>
        <w:pStyle w:val="Nadpis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2" w:name="_Toc216084553"/>
      <w:r w:rsidRPr="003C793F">
        <w:rPr>
          <w:rFonts w:ascii="Calibri" w:hAnsi="Calibri" w:cs="Calibri"/>
          <w:sz w:val="24"/>
          <w:szCs w:val="24"/>
        </w:rPr>
        <w:lastRenderedPageBreak/>
        <w:t>Předmět veřejné zakázky</w:t>
      </w:r>
      <w:bookmarkEnd w:id="2"/>
    </w:p>
    <w:p w:rsidR="000F2306" w:rsidRDefault="000F2306" w:rsidP="000F2306">
      <w:pPr>
        <w:tabs>
          <w:tab w:val="left" w:pos="9072"/>
        </w:tabs>
        <w:autoSpaceDE w:val="0"/>
        <w:autoSpaceDN w:val="0"/>
        <w:adjustRightInd w:val="0"/>
        <w:spacing w:after="120"/>
        <w:ind w:right="232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bookmarkStart w:id="3" w:name="_Toc216084554"/>
      <w:bookmarkStart w:id="4" w:name="_Toc268850000"/>
      <w:bookmarkStart w:id="5" w:name="_Toc268848779"/>
      <w:bookmarkStart w:id="6" w:name="_Toc268848664"/>
      <w:bookmarkStart w:id="7" w:name="_Toc216084555"/>
    </w:p>
    <w:p w:rsidR="000F2306" w:rsidRPr="006E294C" w:rsidRDefault="000F2306" w:rsidP="000F2306">
      <w:pPr>
        <w:tabs>
          <w:tab w:val="left" w:pos="9072"/>
        </w:tabs>
        <w:autoSpaceDE w:val="0"/>
        <w:autoSpaceDN w:val="0"/>
        <w:adjustRightInd w:val="0"/>
        <w:spacing w:after="120"/>
        <w:ind w:right="232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6E294C">
        <w:rPr>
          <w:rFonts w:asciiTheme="minorHAnsi" w:hAnsiTheme="minorHAnsi" w:cs="Calibri"/>
          <w:b/>
          <w:sz w:val="24"/>
          <w:szCs w:val="24"/>
          <w:u w:val="single"/>
        </w:rPr>
        <w:t>Popis předmětu veřejné zakázky</w:t>
      </w:r>
      <w:bookmarkEnd w:id="3"/>
      <w:bookmarkEnd w:id="4"/>
      <w:bookmarkEnd w:id="5"/>
      <w:bookmarkEnd w:id="6"/>
      <w:r w:rsidRPr="006E294C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</w:p>
    <w:p w:rsidR="000F2306" w:rsidRPr="00F00507" w:rsidRDefault="000F2306" w:rsidP="000F2306">
      <w:pPr>
        <w:pStyle w:val="Zkladntext21"/>
        <w:tabs>
          <w:tab w:val="clear" w:pos="720"/>
          <w:tab w:val="left" w:pos="708"/>
        </w:tabs>
        <w:suppressAutoHyphens/>
        <w:spacing w:after="120"/>
        <w:ind w:left="0" w:firstLine="0"/>
        <w:rPr>
          <w:rFonts w:ascii="Calibri" w:eastAsia="Calibri" w:hAnsi="Calibri" w:cs="Tahoma"/>
          <w:szCs w:val="24"/>
        </w:rPr>
      </w:pPr>
      <w:r>
        <w:rPr>
          <w:rFonts w:asciiTheme="minorHAnsi" w:hAnsiTheme="minorHAnsi" w:cstheme="minorHAnsi"/>
          <w:szCs w:val="24"/>
        </w:rPr>
        <w:t>Předmětem</w:t>
      </w:r>
      <w:r w:rsidRPr="00AE5F1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výběrového</w:t>
      </w:r>
      <w:r w:rsidRPr="00AE5F1C">
        <w:rPr>
          <w:rFonts w:asciiTheme="minorHAnsi" w:hAnsiTheme="minorHAnsi" w:cstheme="minorHAnsi"/>
          <w:szCs w:val="24"/>
        </w:rPr>
        <w:t xml:space="preserve"> řízení je </w:t>
      </w:r>
      <w:r>
        <w:rPr>
          <w:rFonts w:asciiTheme="minorHAnsi" w:hAnsiTheme="minorHAnsi" w:cstheme="minorHAnsi"/>
          <w:szCs w:val="24"/>
        </w:rPr>
        <w:t>vypracování projektové dokumentace pro stavební povolení (DSP) a dokumentace pro výběr zhotovitele (DVZ) pro rekonstrukci stávajícího areálu, který bude sloužit jako centrum sociálních služeb. Jedná se o stavební úpravy a projektovou a inženýrskou činnost.</w:t>
      </w:r>
    </w:p>
    <w:p w:rsidR="000F2306" w:rsidRPr="00467B2C" w:rsidRDefault="000F2306" w:rsidP="000F2306">
      <w:pPr>
        <w:pStyle w:val="PFI-odstavec"/>
        <w:tabs>
          <w:tab w:val="clear" w:pos="680"/>
        </w:tabs>
        <w:rPr>
          <w:rFonts w:ascii="Calibri" w:hAnsi="Calibri"/>
          <w:sz w:val="24"/>
        </w:rPr>
      </w:pPr>
      <w:r w:rsidRPr="00467B2C">
        <w:rPr>
          <w:rFonts w:ascii="Calibri" w:hAnsi="Calibri"/>
          <w:sz w:val="24"/>
        </w:rPr>
        <w:t>Zadavatel dále upozorňuje dodavatele na skutečnost, že zadávací dokumentace je souhrnem požadavků zadavatele, a nikoliv konečným souhrnem veškerých požadavků vyplývajících z obecně známých platných právních předpisů a odborných norem. Dodavatel se tak musí při zpracování své nabídky vždy řídit nejen požadavky obsaženými v zadávací dokumentaci, ale též ustanoveními příslušných obecně závazných norem.</w:t>
      </w:r>
    </w:p>
    <w:bookmarkEnd w:id="7"/>
    <w:p w:rsidR="000F2306" w:rsidRDefault="000F2306" w:rsidP="000F2306">
      <w:pPr>
        <w:rPr>
          <w:rFonts w:ascii="Calibri" w:hAnsi="Calibri" w:cs="Calibri"/>
          <w:color w:val="000000"/>
          <w:sz w:val="24"/>
          <w:szCs w:val="24"/>
        </w:rPr>
      </w:pPr>
    </w:p>
    <w:p w:rsidR="000F2306" w:rsidRPr="001F44FB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9214"/>
        </w:tabs>
        <w:spacing w:after="120"/>
        <w:ind w:right="2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Pr="001F44FB">
        <w:rPr>
          <w:rFonts w:ascii="Calibri" w:hAnsi="Calibri" w:cs="Calibri"/>
          <w:sz w:val="24"/>
          <w:szCs w:val="24"/>
        </w:rPr>
        <w:t xml:space="preserve">  </w:t>
      </w:r>
      <w:bookmarkStart w:id="8" w:name="_Toc268850006"/>
      <w:bookmarkStart w:id="9" w:name="_Toc268848670"/>
      <w:r w:rsidRPr="001F44FB">
        <w:rPr>
          <w:rFonts w:ascii="Calibri" w:hAnsi="Calibri" w:cs="Calibri"/>
          <w:sz w:val="24"/>
          <w:szCs w:val="24"/>
        </w:rPr>
        <w:t>Předpokládaná hodnota veřejné zakázky</w:t>
      </w:r>
      <w:bookmarkEnd w:id="8"/>
      <w:bookmarkEnd w:id="9"/>
      <w:r>
        <w:rPr>
          <w:rFonts w:ascii="Calibri" w:hAnsi="Calibri" w:cs="Calibri"/>
          <w:sz w:val="24"/>
          <w:szCs w:val="24"/>
        </w:rPr>
        <w:t xml:space="preserve">, </w:t>
      </w:r>
    </w:p>
    <w:p w:rsidR="000F2306" w:rsidRPr="00AE7FD0" w:rsidRDefault="000F2306" w:rsidP="000F2306">
      <w:pPr>
        <w:tabs>
          <w:tab w:val="left" w:pos="709"/>
        </w:tabs>
        <w:spacing w:after="120"/>
        <w:ind w:right="232"/>
        <w:jc w:val="both"/>
        <w:rPr>
          <w:rFonts w:ascii="Calibri" w:hAnsi="Calibri" w:cs="Calibri"/>
          <w:sz w:val="24"/>
          <w:szCs w:val="24"/>
        </w:rPr>
      </w:pPr>
      <w:r w:rsidRPr="003713B1">
        <w:rPr>
          <w:rFonts w:ascii="Calibri" w:hAnsi="Calibri" w:cs="Calibri"/>
          <w:sz w:val="24"/>
          <w:szCs w:val="24"/>
        </w:rPr>
        <w:t xml:space="preserve">Předpokládaná hodnota veřejné zakázky činí </w:t>
      </w:r>
      <w:r>
        <w:rPr>
          <w:rFonts w:ascii="Calibri" w:hAnsi="Calibri" w:cs="Calibri"/>
          <w:sz w:val="24"/>
          <w:szCs w:val="24"/>
        </w:rPr>
        <w:t>2.000.000</w:t>
      </w:r>
      <w:r w:rsidRPr="003713B1">
        <w:rPr>
          <w:rFonts w:ascii="Calibri" w:hAnsi="Calibri" w:cs="Calibri"/>
          <w:sz w:val="24"/>
          <w:szCs w:val="24"/>
        </w:rPr>
        <w:t xml:space="preserve"> Kč </w:t>
      </w:r>
      <w:r>
        <w:rPr>
          <w:rFonts w:ascii="Calibri" w:hAnsi="Calibri" w:cs="Calibri"/>
          <w:sz w:val="24"/>
          <w:szCs w:val="24"/>
        </w:rPr>
        <w:t xml:space="preserve">vč. </w:t>
      </w:r>
      <w:r w:rsidRPr="003713B1">
        <w:rPr>
          <w:rFonts w:ascii="Calibri" w:hAnsi="Calibri" w:cs="Calibri"/>
          <w:sz w:val="24"/>
          <w:szCs w:val="24"/>
        </w:rPr>
        <w:t>DPH.</w:t>
      </w:r>
    </w:p>
    <w:p w:rsidR="000F2306" w:rsidRDefault="000F2306" w:rsidP="000F2306">
      <w:pPr>
        <w:tabs>
          <w:tab w:val="left" w:pos="709"/>
        </w:tabs>
        <w:spacing w:after="120"/>
        <w:ind w:right="232"/>
        <w:jc w:val="both"/>
        <w:rPr>
          <w:rFonts w:ascii="Calibri" w:hAnsi="Calibri" w:cs="Calibri"/>
          <w:b/>
          <w:sz w:val="24"/>
          <w:szCs w:val="24"/>
        </w:rPr>
      </w:pPr>
    </w:p>
    <w:p w:rsidR="000F2306" w:rsidRPr="00E65FEE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0" w:name="_Toc216084558"/>
      <w:r>
        <w:rPr>
          <w:rFonts w:ascii="Calibri" w:hAnsi="Calibri" w:cs="Calibri"/>
          <w:sz w:val="24"/>
          <w:szCs w:val="24"/>
        </w:rPr>
        <w:t xml:space="preserve">6.   </w:t>
      </w:r>
      <w:r w:rsidRPr="00E65FEE">
        <w:rPr>
          <w:rFonts w:ascii="Calibri" w:hAnsi="Calibri" w:cs="Calibri"/>
          <w:sz w:val="24"/>
          <w:szCs w:val="24"/>
        </w:rPr>
        <w:t>Požadavky na jednotný způsob zpracování nabídkové ceny</w:t>
      </w:r>
      <w:bookmarkEnd w:id="10"/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Účastník</w:t>
      </w:r>
      <w:r w:rsidRPr="00C90563">
        <w:rPr>
          <w:rFonts w:ascii="Calibri" w:hAnsi="Calibri" w:cs="Calibri"/>
          <w:sz w:val="24"/>
          <w:szCs w:val="24"/>
        </w:rPr>
        <w:t xml:space="preserve"> stanoví nabídkovou cenu </w:t>
      </w:r>
      <w:r>
        <w:rPr>
          <w:rFonts w:ascii="Calibri" w:hAnsi="Calibri" w:cs="Calibri"/>
          <w:sz w:val="24"/>
          <w:szCs w:val="24"/>
        </w:rPr>
        <w:t>pro předmět plnění veřejné zakázky.</w:t>
      </w:r>
    </w:p>
    <w:p w:rsidR="000F2306" w:rsidRPr="00F969CF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F969CF">
        <w:rPr>
          <w:rFonts w:ascii="Calibri" w:hAnsi="Calibri" w:cs="Calibri"/>
          <w:sz w:val="24"/>
          <w:szCs w:val="24"/>
        </w:rPr>
        <w:t xml:space="preserve">Nabídková cena bude zpracována oceněním celého předmětu veřejné zakázky Nabídková cena musí obsahovat veškeré nutné náklady k řádné realizaci </w:t>
      </w:r>
      <w:r>
        <w:rPr>
          <w:rFonts w:ascii="Calibri" w:hAnsi="Calibri" w:cs="Calibri"/>
          <w:sz w:val="24"/>
          <w:szCs w:val="24"/>
        </w:rPr>
        <w:t>nákupu</w:t>
      </w:r>
      <w:r w:rsidRPr="00F969CF">
        <w:rPr>
          <w:rFonts w:ascii="Calibri" w:hAnsi="Calibri" w:cs="Calibri"/>
          <w:sz w:val="24"/>
          <w:szCs w:val="24"/>
        </w:rPr>
        <w:t>, včetně všech nákladů souvisejících</w:t>
      </w:r>
      <w:r>
        <w:rPr>
          <w:rFonts w:ascii="Calibri" w:hAnsi="Calibri" w:cs="Calibri"/>
          <w:sz w:val="24"/>
          <w:szCs w:val="24"/>
        </w:rPr>
        <w:t>.</w:t>
      </w:r>
      <w:r w:rsidRPr="00F969CF">
        <w:rPr>
          <w:rFonts w:ascii="Calibri" w:hAnsi="Calibri" w:cs="Calibri"/>
          <w:sz w:val="24"/>
          <w:szCs w:val="24"/>
        </w:rPr>
        <w:t xml:space="preserve"> </w:t>
      </w:r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253D29">
        <w:rPr>
          <w:rFonts w:ascii="Calibri" w:hAnsi="Calibri" w:cs="Calibri"/>
          <w:sz w:val="24"/>
          <w:szCs w:val="24"/>
        </w:rPr>
        <w:t>Nabídková cena bude uvedena v české měně, a to ve formátu cena v Kč včetně daně z přidané hodnoty (DPH)</w:t>
      </w:r>
      <w:r>
        <w:rPr>
          <w:rFonts w:ascii="Calibri" w:hAnsi="Calibri" w:cs="Calibri"/>
          <w:sz w:val="24"/>
          <w:szCs w:val="24"/>
        </w:rPr>
        <w:t>.</w:t>
      </w:r>
      <w:r w:rsidRPr="00253D29">
        <w:rPr>
          <w:rFonts w:ascii="Calibri" w:hAnsi="Calibri" w:cs="Calibri"/>
          <w:sz w:val="24"/>
          <w:szCs w:val="24"/>
        </w:rPr>
        <w:t xml:space="preserve"> </w:t>
      </w:r>
    </w:p>
    <w:p w:rsidR="000F2306" w:rsidRPr="00253D29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253D29">
        <w:rPr>
          <w:rFonts w:ascii="Calibri" w:hAnsi="Calibri" w:cs="Calibri"/>
          <w:sz w:val="24"/>
          <w:szCs w:val="24"/>
        </w:rPr>
        <w:t>Nabídková cena bude stanovena jako cena „nejvýše přípustná“ a musí v ní být zahrnuty veškeré náklady dodavatele, spojené s realizací předmětu veřejné zakázky.</w:t>
      </w:r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696064">
        <w:rPr>
          <w:rFonts w:ascii="Calibri" w:hAnsi="Calibri" w:cs="Calibri"/>
          <w:sz w:val="24"/>
          <w:szCs w:val="24"/>
        </w:rPr>
        <w:t xml:space="preserve">Nabídková cena bude zpracována v souladu s oznámením o zahájení </w:t>
      </w:r>
      <w:r>
        <w:rPr>
          <w:rFonts w:ascii="Calibri" w:hAnsi="Calibri" w:cs="Calibri"/>
          <w:sz w:val="24"/>
          <w:szCs w:val="24"/>
        </w:rPr>
        <w:t>výběrového</w:t>
      </w:r>
      <w:r w:rsidRPr="00696064">
        <w:rPr>
          <w:rFonts w:ascii="Calibri" w:hAnsi="Calibri" w:cs="Calibri"/>
          <w:sz w:val="24"/>
          <w:szCs w:val="24"/>
        </w:rPr>
        <w:t xml:space="preserve"> řízení, zadávací dokumentací a další dokumentací obsahující vymezení předmětu veřejné zakázky</w:t>
      </w:r>
      <w:r>
        <w:rPr>
          <w:rFonts w:ascii="Calibri" w:hAnsi="Calibri" w:cs="Calibri"/>
          <w:sz w:val="24"/>
          <w:szCs w:val="24"/>
        </w:rPr>
        <w:t>.</w:t>
      </w:r>
    </w:p>
    <w:p w:rsidR="000F2306" w:rsidRPr="00C56D22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A6097">
        <w:rPr>
          <w:rFonts w:asciiTheme="minorHAnsi" w:hAnsiTheme="minorHAnsi" w:cs="Arial"/>
          <w:sz w:val="24"/>
          <w:szCs w:val="24"/>
        </w:rPr>
        <w:t xml:space="preserve">Nabídková cena, popřípadě kterákoliv její součást, uvedená v nabídce na základě zadávací dokumentace musí mít kladnou hodnotu, </w:t>
      </w:r>
      <w:r w:rsidRPr="00EA6097">
        <w:rPr>
          <w:rFonts w:asciiTheme="minorHAnsi" w:hAnsiTheme="minorHAnsi" w:cs="Arial"/>
          <w:sz w:val="24"/>
          <w:szCs w:val="24"/>
          <w:u w:val="single"/>
        </w:rPr>
        <w:t>zadavatel nepřipouští nulovou cenu</w:t>
      </w:r>
      <w:r w:rsidRPr="00EA6097">
        <w:rPr>
          <w:rFonts w:asciiTheme="minorHAnsi" w:hAnsiTheme="minorHAnsi" w:cs="Arial"/>
          <w:sz w:val="24"/>
          <w:szCs w:val="24"/>
        </w:rPr>
        <w:t>.</w:t>
      </w:r>
    </w:p>
    <w:p w:rsidR="000F2306" w:rsidRPr="00C56D22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6D22">
        <w:rPr>
          <w:rFonts w:asciiTheme="minorHAnsi" w:hAnsiTheme="minorHAnsi" w:cstheme="minorHAnsi"/>
          <w:sz w:val="24"/>
          <w:szCs w:val="24"/>
        </w:rPr>
        <w:t>V případě nejasností v kalkulaci si zadavatel vyhrazuje právo vyžádat si jejich vysvětlení.</w:t>
      </w:r>
    </w:p>
    <w:p w:rsidR="000F2306" w:rsidRPr="00EA6097" w:rsidRDefault="000F2306" w:rsidP="000F2306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696064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11" w:name="_Toc216084562"/>
      <w:r>
        <w:rPr>
          <w:rFonts w:ascii="Calibri" w:hAnsi="Calibri" w:cs="Calibri"/>
          <w:sz w:val="24"/>
          <w:szCs w:val="24"/>
        </w:rPr>
        <w:t>7.   Doba a m</w:t>
      </w:r>
      <w:r w:rsidRPr="00696064">
        <w:rPr>
          <w:rFonts w:ascii="Calibri" w:hAnsi="Calibri" w:cs="Calibri"/>
          <w:sz w:val="24"/>
          <w:szCs w:val="24"/>
        </w:rPr>
        <w:t>ísto plnění veřejné zakázky</w:t>
      </w:r>
      <w:bookmarkEnd w:id="11"/>
    </w:p>
    <w:p w:rsidR="000F2306" w:rsidRPr="00C56D22" w:rsidRDefault="000F2306" w:rsidP="000F2306">
      <w:pPr>
        <w:spacing w:after="120"/>
        <w:ind w:right="14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C56D22">
        <w:rPr>
          <w:rFonts w:ascii="Calibri" w:hAnsi="Calibri" w:cs="Arial"/>
          <w:sz w:val="24"/>
          <w:szCs w:val="24"/>
        </w:rPr>
        <w:t>ředpokládaná doba zahájení</w:t>
      </w:r>
      <w:r>
        <w:rPr>
          <w:rFonts w:ascii="Calibri" w:hAnsi="Calibri" w:cs="Arial"/>
          <w:sz w:val="24"/>
          <w:szCs w:val="24"/>
        </w:rPr>
        <w:t xml:space="preserve"> plnění veřejné zakázky</w:t>
      </w:r>
      <w:r w:rsidRPr="00C56D22">
        <w:rPr>
          <w:rFonts w:ascii="Calibri" w:hAnsi="Calibri" w:cs="Arial"/>
          <w:sz w:val="24"/>
          <w:szCs w:val="24"/>
        </w:rPr>
        <w:t xml:space="preserve"> je závislá na ukončení </w:t>
      </w:r>
      <w:r>
        <w:rPr>
          <w:rFonts w:ascii="Calibri" w:hAnsi="Calibri" w:cs="Arial"/>
          <w:sz w:val="24"/>
          <w:szCs w:val="24"/>
        </w:rPr>
        <w:t>výběrového</w:t>
      </w:r>
      <w:r w:rsidRPr="00C56D22">
        <w:rPr>
          <w:rFonts w:ascii="Calibri" w:hAnsi="Calibri" w:cs="Arial"/>
          <w:sz w:val="24"/>
          <w:szCs w:val="24"/>
        </w:rPr>
        <w:t xml:space="preserve"> řízení, zahájení plnění nastane po</w:t>
      </w:r>
      <w:r>
        <w:rPr>
          <w:rFonts w:ascii="Calibri" w:hAnsi="Calibri" w:cs="Arial"/>
          <w:sz w:val="24"/>
          <w:szCs w:val="24"/>
        </w:rPr>
        <w:t xml:space="preserve"> podepsání smlouvy s vybraným dodavatelem, </w:t>
      </w:r>
      <w:r w:rsidRPr="00C56D22">
        <w:rPr>
          <w:rFonts w:ascii="Calibri" w:hAnsi="Calibri" w:cs="Arial"/>
          <w:sz w:val="24"/>
          <w:szCs w:val="24"/>
        </w:rPr>
        <w:t xml:space="preserve">a to dle podmínek uvedených ve smlouvě. </w:t>
      </w:r>
    </w:p>
    <w:p w:rsidR="000F2306" w:rsidRPr="00C56D22" w:rsidRDefault="000F2306" w:rsidP="000F2306">
      <w:pPr>
        <w:spacing w:after="120"/>
        <w:ind w:right="142"/>
        <w:jc w:val="both"/>
        <w:rPr>
          <w:rFonts w:ascii="Calibri" w:hAnsi="Calibri" w:cs="Arial"/>
          <w:sz w:val="24"/>
          <w:szCs w:val="24"/>
        </w:rPr>
      </w:pPr>
      <w:r w:rsidRPr="00C56D22">
        <w:rPr>
          <w:rFonts w:ascii="Calibri" w:hAnsi="Calibri" w:cs="Arial"/>
          <w:sz w:val="24"/>
          <w:szCs w:val="24"/>
        </w:rPr>
        <w:t xml:space="preserve">Termín ukončení </w:t>
      </w:r>
      <w:r>
        <w:rPr>
          <w:rFonts w:ascii="Calibri" w:hAnsi="Calibri" w:cs="Arial"/>
          <w:sz w:val="24"/>
          <w:szCs w:val="24"/>
        </w:rPr>
        <w:t xml:space="preserve">plnění veřejné zakázky </w:t>
      </w:r>
      <w:r w:rsidRPr="00C56D22">
        <w:rPr>
          <w:rFonts w:ascii="Calibri" w:hAnsi="Calibri" w:cs="Arial"/>
          <w:sz w:val="24"/>
          <w:szCs w:val="24"/>
        </w:rPr>
        <w:t>se může změnit z objektivních příčin, způsobených třetími stranami nebo jinými okolnostmi, nezávislými na vůli smluvních stran.</w:t>
      </w:r>
    </w:p>
    <w:p w:rsidR="000F2306" w:rsidRDefault="000F2306" w:rsidP="000F2306">
      <w:pPr>
        <w:spacing w:after="120"/>
        <w:ind w:left="709" w:hanging="709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F2306" w:rsidRPr="001B2E2A" w:rsidRDefault="000F2306" w:rsidP="000F2306">
      <w:pPr>
        <w:spacing w:after="120"/>
        <w:ind w:left="709" w:hanging="709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1B2E2A">
        <w:rPr>
          <w:rFonts w:asciiTheme="minorHAnsi" w:hAnsiTheme="minorHAnsi" w:cs="Arial"/>
          <w:b/>
          <w:bCs/>
          <w:sz w:val="24"/>
          <w:szCs w:val="24"/>
        </w:rPr>
        <w:lastRenderedPageBreak/>
        <w:t>Ú</w:t>
      </w:r>
      <w:r w:rsidRPr="001B2E2A">
        <w:rPr>
          <w:rFonts w:asciiTheme="minorHAnsi" w:hAnsiTheme="minorHAnsi"/>
          <w:b/>
          <w:sz w:val="24"/>
          <w:szCs w:val="24"/>
        </w:rPr>
        <w:t xml:space="preserve">častník </w:t>
      </w:r>
      <w:r>
        <w:rPr>
          <w:rFonts w:asciiTheme="minorHAnsi" w:hAnsiTheme="minorHAnsi"/>
          <w:b/>
          <w:sz w:val="24"/>
          <w:szCs w:val="24"/>
        </w:rPr>
        <w:t xml:space="preserve">výběrového řízení může podat ve výběrovém </w:t>
      </w:r>
      <w:r w:rsidRPr="001B2E2A">
        <w:rPr>
          <w:rFonts w:asciiTheme="minorHAnsi" w:hAnsiTheme="minorHAnsi"/>
          <w:b/>
          <w:sz w:val="24"/>
          <w:szCs w:val="24"/>
        </w:rPr>
        <w:t>řízení jen jednu nabíd</w:t>
      </w:r>
      <w:r>
        <w:rPr>
          <w:rFonts w:asciiTheme="minorHAnsi" w:hAnsiTheme="minorHAnsi"/>
          <w:b/>
          <w:sz w:val="24"/>
          <w:szCs w:val="24"/>
        </w:rPr>
        <w:t>ku</w:t>
      </w:r>
    </w:p>
    <w:p w:rsidR="000F2306" w:rsidRPr="00EA6097" w:rsidRDefault="000F2306" w:rsidP="000F2306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A6097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odavatel, který podal nabídku ve výběrovém </w:t>
      </w:r>
      <w:r w:rsidRPr="00EA6097">
        <w:rPr>
          <w:rFonts w:asciiTheme="minorHAnsi" w:hAnsiTheme="minorHAnsi"/>
          <w:sz w:val="24"/>
          <w:szCs w:val="24"/>
        </w:rPr>
        <w:t xml:space="preserve">řízení, nesmí být současně osobou, jejímž prostřednictvím jiný dodavatel v tomtéž </w:t>
      </w:r>
      <w:r>
        <w:rPr>
          <w:rFonts w:asciiTheme="minorHAnsi" w:hAnsiTheme="minorHAnsi"/>
          <w:sz w:val="24"/>
          <w:szCs w:val="24"/>
        </w:rPr>
        <w:t>výběrovém</w:t>
      </w:r>
      <w:r w:rsidRPr="00EA6097">
        <w:rPr>
          <w:rFonts w:asciiTheme="minorHAnsi" w:hAnsiTheme="minorHAnsi"/>
          <w:sz w:val="24"/>
          <w:szCs w:val="24"/>
        </w:rPr>
        <w:t xml:space="preserve"> řízení prokazuje kvalifikaci.</w:t>
      </w:r>
    </w:p>
    <w:p w:rsidR="000F2306" w:rsidRPr="00EA6097" w:rsidRDefault="000F2306" w:rsidP="000F2306">
      <w:pPr>
        <w:spacing w:after="120"/>
        <w:ind w:right="-284"/>
        <w:jc w:val="both"/>
        <w:rPr>
          <w:rFonts w:asciiTheme="minorHAnsi" w:hAnsiTheme="minorHAnsi"/>
          <w:sz w:val="24"/>
          <w:szCs w:val="24"/>
        </w:rPr>
      </w:pPr>
      <w:r w:rsidRPr="00EA6097">
        <w:rPr>
          <w:rFonts w:asciiTheme="minorHAnsi" w:hAnsiTheme="minorHAnsi"/>
          <w:sz w:val="24"/>
          <w:szCs w:val="24"/>
        </w:rPr>
        <w:t xml:space="preserve">Zadavatel vyloučí účastníka </w:t>
      </w:r>
      <w:r>
        <w:rPr>
          <w:rFonts w:asciiTheme="minorHAnsi" w:hAnsiTheme="minorHAnsi"/>
          <w:sz w:val="24"/>
          <w:szCs w:val="24"/>
        </w:rPr>
        <w:t>výběrového</w:t>
      </w:r>
      <w:r w:rsidRPr="00EA6097">
        <w:rPr>
          <w:rFonts w:asciiTheme="minorHAnsi" w:hAnsiTheme="minorHAnsi"/>
          <w:sz w:val="24"/>
          <w:szCs w:val="24"/>
        </w:rPr>
        <w:t xml:space="preserve"> řízení, který podal více nabídek samostatně nebo společně s jinými dodavateli, nebo podal nabídku a současně je osobou, jejímž prostřednictvím jiný účastník </w:t>
      </w:r>
      <w:r>
        <w:rPr>
          <w:rFonts w:asciiTheme="minorHAnsi" w:hAnsiTheme="minorHAnsi"/>
          <w:sz w:val="24"/>
          <w:szCs w:val="24"/>
        </w:rPr>
        <w:t>výběrového</w:t>
      </w:r>
      <w:r w:rsidRPr="00EA6097">
        <w:rPr>
          <w:rFonts w:asciiTheme="minorHAnsi" w:hAnsiTheme="minorHAnsi"/>
          <w:sz w:val="24"/>
          <w:szCs w:val="24"/>
        </w:rPr>
        <w:t xml:space="preserve"> řízení v tomtéž </w:t>
      </w:r>
      <w:r>
        <w:rPr>
          <w:rFonts w:asciiTheme="minorHAnsi" w:hAnsiTheme="minorHAnsi"/>
          <w:sz w:val="24"/>
          <w:szCs w:val="24"/>
        </w:rPr>
        <w:t>výběrovém</w:t>
      </w:r>
      <w:r w:rsidRPr="00EA6097">
        <w:rPr>
          <w:rFonts w:asciiTheme="minorHAnsi" w:hAnsiTheme="minorHAnsi"/>
          <w:sz w:val="24"/>
          <w:szCs w:val="24"/>
        </w:rPr>
        <w:t xml:space="preserve"> řízení prokazuje kvalifikaci.</w:t>
      </w:r>
    </w:p>
    <w:p w:rsidR="000F2306" w:rsidRPr="00982CFB" w:rsidRDefault="000F2306" w:rsidP="000F2306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F2306" w:rsidRPr="00277FC4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2" w:name="_Toc216084573"/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Pr="00277FC4">
        <w:rPr>
          <w:rFonts w:ascii="Calibri" w:hAnsi="Calibri" w:cs="Calibri"/>
          <w:sz w:val="24"/>
          <w:szCs w:val="24"/>
        </w:rPr>
        <w:t>Hodnocení nabídek, hodnotící kritéria</w:t>
      </w:r>
      <w:bookmarkEnd w:id="12"/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Nabídky budou hodnoceny podle jejich ekonomické výhodnosti.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Ekonomická výhodnost nabídek se hodnotí podle nejnižší nabídkové ceny.</w:t>
      </w:r>
    </w:p>
    <w:p w:rsidR="000F2306" w:rsidRPr="00B84990" w:rsidRDefault="000F2306" w:rsidP="000F2306">
      <w:pPr>
        <w:pStyle w:val="Nadpis3"/>
        <w:suppressAutoHyphens/>
        <w:spacing w:after="120"/>
        <w:rPr>
          <w:rFonts w:asciiTheme="minorHAnsi" w:hAnsiTheme="minorHAnsi"/>
          <w:sz w:val="24"/>
        </w:rPr>
      </w:pPr>
      <w:bookmarkStart w:id="13" w:name="_Ref464823738"/>
      <w:r w:rsidRPr="00B84990">
        <w:rPr>
          <w:rFonts w:asciiTheme="minorHAnsi" w:hAnsiTheme="minorHAnsi"/>
          <w:sz w:val="24"/>
        </w:rPr>
        <w:t>Kritéria hodnocení a jejich váhy</w:t>
      </w:r>
      <w:bookmarkEnd w:id="13"/>
    </w:p>
    <w:p w:rsidR="000F2306" w:rsidRPr="00B84990" w:rsidRDefault="000F2306" w:rsidP="000F2306">
      <w:pPr>
        <w:spacing w:after="120"/>
        <w:rPr>
          <w:rFonts w:asciiTheme="minorHAnsi" w:hAnsiTheme="minorHAnsi"/>
          <w:sz w:val="24"/>
          <w:szCs w:val="24"/>
        </w:rPr>
      </w:pPr>
      <w:r w:rsidRPr="00B84990">
        <w:rPr>
          <w:rFonts w:asciiTheme="minorHAnsi" w:hAnsiTheme="minorHAnsi"/>
          <w:sz w:val="24"/>
          <w:szCs w:val="24"/>
        </w:rPr>
        <w:t>Zadavatel stanovil následující kritéria hodnocení a jejich váhy:</w:t>
      </w:r>
    </w:p>
    <w:p w:rsidR="000F2306" w:rsidRPr="00467B2C" w:rsidRDefault="000F2306" w:rsidP="000F2306">
      <w:pPr>
        <w:pStyle w:val="Zkladntext"/>
        <w:numPr>
          <w:ilvl w:val="0"/>
          <w:numId w:val="6"/>
        </w:numPr>
        <w:spacing w:after="0"/>
        <w:ind w:left="839" w:hanging="357"/>
        <w:jc w:val="both"/>
        <w:rPr>
          <w:rFonts w:ascii="Calibri" w:hAnsi="Calibri" w:cs="Tahoma"/>
          <w:b/>
          <w:bCs/>
          <w:iCs/>
        </w:rPr>
      </w:pPr>
      <w:r w:rsidRPr="00467B2C">
        <w:rPr>
          <w:rFonts w:ascii="Calibri" w:hAnsi="Calibri" w:cs="Tahoma"/>
          <w:b/>
          <w:bCs/>
          <w:iCs/>
        </w:rPr>
        <w:t xml:space="preserve">A. Nabídková cena včetně DPH </w:t>
      </w:r>
      <w:proofErr w:type="gramStart"/>
      <w:r w:rsidRPr="00467B2C">
        <w:rPr>
          <w:rFonts w:ascii="Calibri" w:hAnsi="Calibri" w:cs="Tahoma"/>
          <w:b/>
          <w:bCs/>
          <w:iCs/>
        </w:rPr>
        <w:t>…….</w:t>
      </w:r>
      <w:proofErr w:type="gramEnd"/>
      <w:r w:rsidRPr="00467B2C">
        <w:rPr>
          <w:rFonts w:ascii="Calibri" w:hAnsi="Calibri" w:cs="Tahoma"/>
          <w:b/>
          <w:bCs/>
          <w:iCs/>
        </w:rPr>
        <w:t xml:space="preserve">…………………...………………….…… váha </w:t>
      </w:r>
      <w:r>
        <w:rPr>
          <w:rFonts w:ascii="Calibri" w:hAnsi="Calibri" w:cs="Tahoma"/>
          <w:b/>
          <w:bCs/>
          <w:iCs/>
        </w:rPr>
        <w:t>100%</w:t>
      </w:r>
    </w:p>
    <w:p w:rsidR="000F2306" w:rsidRDefault="000F2306" w:rsidP="000F2306">
      <w:pPr>
        <w:pStyle w:val="Zkladntext"/>
        <w:jc w:val="both"/>
        <w:rPr>
          <w:rFonts w:ascii="Calibri" w:hAnsi="Calibri" w:cs="Tahoma"/>
          <w:b/>
          <w:bCs/>
        </w:rPr>
      </w:pPr>
    </w:p>
    <w:p w:rsidR="000F2306" w:rsidRPr="00467B2C" w:rsidRDefault="000F2306" w:rsidP="000F2306">
      <w:pPr>
        <w:pStyle w:val="Zkladntext"/>
        <w:jc w:val="both"/>
        <w:rPr>
          <w:rFonts w:ascii="Calibri" w:hAnsi="Calibri" w:cs="Tahoma"/>
          <w:b/>
          <w:bCs/>
        </w:rPr>
      </w:pPr>
      <w:r w:rsidRPr="00467B2C">
        <w:rPr>
          <w:rFonts w:ascii="Calibri" w:hAnsi="Calibri" w:cs="Tahoma"/>
          <w:b/>
          <w:bCs/>
        </w:rPr>
        <w:t xml:space="preserve">Účastník ve své nabídce uvede: </w:t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  <w:t xml:space="preserve">               </w:t>
      </w:r>
    </w:p>
    <w:p w:rsidR="000F2306" w:rsidRPr="00095992" w:rsidRDefault="000F2306" w:rsidP="000F2306">
      <w:pPr>
        <w:pStyle w:val="Zkladntext"/>
        <w:numPr>
          <w:ilvl w:val="0"/>
          <w:numId w:val="6"/>
        </w:numPr>
        <w:suppressAutoHyphens/>
        <w:jc w:val="both"/>
        <w:rPr>
          <w:rFonts w:asciiTheme="minorHAnsi" w:hAnsiTheme="minorHAnsi"/>
        </w:rPr>
      </w:pPr>
      <w:r w:rsidRPr="00095992">
        <w:rPr>
          <w:rFonts w:ascii="Calibri" w:hAnsi="Calibri" w:cs="Tahoma"/>
          <w:bCs/>
        </w:rPr>
        <w:t xml:space="preserve">výši nabídkové ceny v Kč včetně DPH za celý rozsah plnění veřejné zakázky </w:t>
      </w:r>
    </w:p>
    <w:p w:rsidR="000F2306" w:rsidRPr="00095992" w:rsidRDefault="000F2306" w:rsidP="000F2306">
      <w:pPr>
        <w:pStyle w:val="Zkladntext"/>
        <w:numPr>
          <w:ilvl w:val="0"/>
          <w:numId w:val="6"/>
        </w:numPr>
        <w:suppressAutoHyphens/>
        <w:jc w:val="both"/>
        <w:rPr>
          <w:rFonts w:asciiTheme="minorHAnsi" w:hAnsiTheme="minorHAnsi"/>
        </w:rPr>
      </w:pPr>
      <w:r w:rsidRPr="00095992">
        <w:rPr>
          <w:rFonts w:asciiTheme="minorHAnsi" w:hAnsiTheme="minorHAnsi"/>
        </w:rPr>
        <w:t>Společná ustanovení pro hodnocení nabídek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Dodavatel není oprávněn nijak podmiňovat hodnoty, které jsou předmětem hodnocení, dalšími podmínkami. Takovéto podmínění je důvodem pro vyřazení na</w:t>
      </w:r>
      <w:r>
        <w:rPr>
          <w:rFonts w:asciiTheme="minorHAnsi" w:hAnsiTheme="minorHAnsi"/>
          <w:sz w:val="24"/>
        </w:rPr>
        <w:t xml:space="preserve">bídky a vyloučení dodavatele z výběrového </w:t>
      </w:r>
      <w:r w:rsidRPr="00B84990">
        <w:rPr>
          <w:rFonts w:asciiTheme="minorHAnsi" w:hAnsiTheme="minorHAnsi"/>
          <w:sz w:val="24"/>
        </w:rPr>
        <w:t>řízení. Obdobně bude zadavatel postupovat v případě, že dodavatel uvede několik rozdílných hodnot pro jedno konkrétní kritérium hodnocení (s výjimkou případů, kdy půjde o zjevnou chybu v psaní nebo snadno a jednoznačně odůvodnitelnou chybu v nabídce) nebo dojde k uvedení hodnoty, která je předmětem hodnocení, v jiné veličině či formě než zadavatel požaduje v zadávacích podmínkách (s výjimkou případů, kdy lze provést jednoznačný přepočet na požadovanou veličinu či formu).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 xml:space="preserve">Pokud dojde k tomu, že dvě či více nabídek budou hodnoceny shodně a byli tak dva či více účastníci </w:t>
      </w:r>
      <w:r>
        <w:rPr>
          <w:rFonts w:asciiTheme="minorHAnsi" w:hAnsiTheme="minorHAnsi"/>
          <w:sz w:val="24"/>
          <w:lang w:val="cs-CZ"/>
        </w:rPr>
        <w:t>výběrového</w:t>
      </w:r>
      <w:r w:rsidRPr="00B84990">
        <w:rPr>
          <w:rFonts w:asciiTheme="minorHAnsi" w:hAnsiTheme="minorHAnsi"/>
          <w:sz w:val="24"/>
        </w:rPr>
        <w:t xml:space="preserve"> řízení, se kterými by měl zadavatel uzavřít smlouvu, vyhrazuje si zadavatel právo vybrat jako nejvhodnější tu ze shodně nejlépe hodnocených nabídek nabídku, která byla zadavateli doručena jako první.</w:t>
      </w:r>
    </w:p>
    <w:p w:rsidR="000F2306" w:rsidRPr="001B2E2A" w:rsidRDefault="000F2306" w:rsidP="000F2306">
      <w:pPr>
        <w:ind w:right="284"/>
        <w:jc w:val="both"/>
        <w:rPr>
          <w:rFonts w:ascii="Calibri" w:hAnsi="Calibri" w:cs="Calibri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bookmarkStart w:id="14" w:name="_Toc216084577"/>
      <w:r>
        <w:rPr>
          <w:rFonts w:asciiTheme="minorHAnsi" w:hAnsiTheme="minorHAnsi" w:cstheme="minorHAnsi"/>
          <w:bCs/>
          <w:sz w:val="24"/>
          <w:szCs w:val="24"/>
        </w:rPr>
        <w:t>9.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F56E0">
        <w:rPr>
          <w:rFonts w:asciiTheme="minorHAnsi" w:hAnsiTheme="minorHAnsi" w:cstheme="minorHAnsi"/>
          <w:bCs/>
          <w:sz w:val="24"/>
          <w:szCs w:val="24"/>
        </w:rPr>
        <w:t>Poskytnutí zadávací dokumentace, přístup k dokumentům</w:t>
      </w:r>
    </w:p>
    <w:p w:rsidR="000F2306" w:rsidRPr="00B81D73" w:rsidRDefault="000F2306" w:rsidP="000F2306">
      <w:pPr>
        <w:spacing w:after="120"/>
        <w:ind w:right="142"/>
        <w:jc w:val="both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Zadavatel předal zadávací podmínky osloveným dodavatelům a případně zašle e-mailem dalším zájemcům.</w:t>
      </w:r>
      <w:r w:rsidRPr="00B81D7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2306" w:rsidRPr="003E03AD" w:rsidRDefault="000F2306" w:rsidP="000F2306">
      <w:pPr>
        <w:spacing w:after="120"/>
        <w:ind w:right="142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3E03AD">
        <w:rPr>
          <w:rFonts w:asciiTheme="minorHAnsi" w:hAnsiTheme="minorHAnsi" w:cstheme="minorHAnsi"/>
          <w:color w:val="000000"/>
          <w:sz w:val="24"/>
          <w:szCs w:val="24"/>
        </w:rPr>
        <w:t xml:space="preserve">Pověřeným pracovníkem pro styk s účastníky je určena: </w:t>
      </w:r>
      <w:r>
        <w:rPr>
          <w:rFonts w:asciiTheme="minorHAnsi" w:hAnsiTheme="minorHAnsi" w:cstheme="minorHAnsi"/>
          <w:color w:val="000000"/>
          <w:sz w:val="24"/>
          <w:szCs w:val="24"/>
        </w:rPr>
        <w:t>Ing. Jiří Haramul</w:t>
      </w:r>
      <w:r w:rsidRPr="003E03AD">
        <w:rPr>
          <w:rFonts w:asciiTheme="minorHAnsi" w:hAnsiTheme="minorHAnsi" w:cstheme="minorHAnsi"/>
          <w:color w:val="000000"/>
          <w:sz w:val="24"/>
          <w:szCs w:val="24"/>
        </w:rPr>
        <w:t xml:space="preserve">, e-mail: </w:t>
      </w:r>
      <w:hyperlink r:id="rId6" w:history="1">
        <w:r w:rsidRPr="00D20F92">
          <w:rPr>
            <w:rStyle w:val="Hypertextovodkaz"/>
          </w:rPr>
          <w:t>jiri.haramul@brezineves.cz</w:t>
        </w:r>
      </w:hyperlink>
      <w:r>
        <w:t xml:space="preserve">  tel. 283 910 263.</w:t>
      </w:r>
    </w:p>
    <w:p w:rsidR="000F2306" w:rsidRPr="003E03AD" w:rsidRDefault="000F2306" w:rsidP="000F2306">
      <w:pPr>
        <w:ind w:left="720" w:right="142"/>
        <w:jc w:val="both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bCs/>
          <w:caps/>
          <w:sz w:val="24"/>
          <w:szCs w:val="24"/>
        </w:rPr>
        <w:t>Ž</w:t>
      </w:r>
      <w:r w:rsidRPr="00DF56E0">
        <w:rPr>
          <w:rFonts w:asciiTheme="minorHAnsi" w:hAnsiTheme="minorHAnsi" w:cstheme="minorHAnsi"/>
          <w:bCs/>
          <w:sz w:val="24"/>
          <w:szCs w:val="24"/>
        </w:rPr>
        <w:t>ádost o vysvětlení zadávací dokumentace</w:t>
      </w:r>
      <w:r w:rsidRPr="00DF56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bookmarkStart w:id="15" w:name="_Toc216084581"/>
      <w:bookmarkEnd w:id="14"/>
      <w:r w:rsidRPr="00B84990">
        <w:rPr>
          <w:rFonts w:asciiTheme="minorHAnsi" w:hAnsiTheme="minorHAnsi" w:cs="Tahoma"/>
          <w:sz w:val="24"/>
        </w:rPr>
        <w:t xml:space="preserve">Dodavatelé jsou oprávněni požádat zadavatele o vysvětlení Zadávací dokumentace (též „položit dotaz“). Dotaz musí být položen zadavateli pouze v písemné formě (poštou, osobně, </w:t>
      </w:r>
      <w:r w:rsidRPr="00B84990">
        <w:rPr>
          <w:rFonts w:asciiTheme="minorHAnsi" w:hAnsiTheme="minorHAnsi" w:cs="Tahoma"/>
          <w:sz w:val="24"/>
        </w:rPr>
        <w:lastRenderedPageBreak/>
        <w:t>e-mailem na adresu) této Zadávací dokumentace a to nejpozději 3 pracovní dny př</w:t>
      </w:r>
      <w:r>
        <w:rPr>
          <w:rFonts w:asciiTheme="minorHAnsi" w:hAnsiTheme="minorHAnsi" w:cs="Tahoma"/>
          <w:sz w:val="24"/>
        </w:rPr>
        <w:t xml:space="preserve">ed uplynutím lhůty podle odst. </w:t>
      </w:r>
      <w:r w:rsidRPr="00B84990">
        <w:rPr>
          <w:rFonts w:asciiTheme="minorHAnsi" w:hAnsiTheme="minorHAnsi" w:cs="Tahoma"/>
          <w:sz w:val="24"/>
        </w:rPr>
        <w:t xml:space="preserve">2 tohoto bodu Zadávací dokumentace. 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r w:rsidRPr="00B84990">
        <w:rPr>
          <w:rFonts w:asciiTheme="minorHAnsi" w:hAnsiTheme="minorHAnsi" w:cs="Tahoma"/>
          <w:sz w:val="24"/>
        </w:rPr>
        <w:t xml:space="preserve">Zadavatel </w:t>
      </w:r>
      <w:r>
        <w:rPr>
          <w:rFonts w:asciiTheme="minorHAnsi" w:hAnsiTheme="minorHAnsi" w:cs="Tahoma"/>
          <w:sz w:val="24"/>
          <w:lang w:val="cs-CZ"/>
        </w:rPr>
        <w:t>odešle</w:t>
      </w:r>
      <w:r w:rsidRPr="00B84990">
        <w:rPr>
          <w:rFonts w:asciiTheme="minorHAnsi" w:hAnsiTheme="minorHAnsi" w:cs="Tahoma"/>
          <w:sz w:val="24"/>
        </w:rPr>
        <w:t xml:space="preserve"> vysvětlení Zadávací dokumentace nejpozději 4 pracovní dny před skončením lhůty pro podání nabídek.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r w:rsidRPr="00DF56E0">
        <w:rPr>
          <w:rFonts w:asciiTheme="minorHAnsi" w:hAnsiTheme="minorHAnsi" w:cstheme="minorHAnsi"/>
          <w:sz w:val="24"/>
        </w:rPr>
        <w:t xml:space="preserve">Zadavatel může poskytnout </w:t>
      </w:r>
      <w:r>
        <w:rPr>
          <w:rFonts w:asciiTheme="minorHAnsi" w:hAnsiTheme="minorHAnsi" w:cstheme="minorHAnsi"/>
          <w:sz w:val="24"/>
        </w:rPr>
        <w:t>účastníkům</w:t>
      </w:r>
      <w:r w:rsidRPr="00DF56E0">
        <w:rPr>
          <w:rFonts w:asciiTheme="minorHAnsi" w:hAnsiTheme="minorHAnsi" w:cstheme="minorHAnsi"/>
          <w:sz w:val="24"/>
        </w:rPr>
        <w:t xml:space="preserve"> dodatečné informace k zadávacím podmínkám i bez předchozí žádosti.</w:t>
      </w:r>
      <w:r w:rsidRPr="00B84990">
        <w:rPr>
          <w:rFonts w:asciiTheme="minorHAnsi" w:hAnsiTheme="minorHAnsi" w:cs="Tahoma"/>
          <w:sz w:val="24"/>
        </w:rPr>
        <w:t xml:space="preserve"> </w:t>
      </w:r>
    </w:p>
    <w:p w:rsidR="000F2306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  <w:lang w:val="cs-CZ"/>
        </w:rPr>
      </w:pPr>
      <w:r w:rsidRPr="00B84990">
        <w:rPr>
          <w:rFonts w:asciiTheme="minorHAnsi" w:hAnsiTheme="minorHAnsi" w:cs="Tahoma"/>
          <w:sz w:val="24"/>
        </w:rPr>
        <w:t xml:space="preserve">Vysvětlení, změny a doplnění Zadávací dokumentace jsou součástí Zadávací dokumentace a nedodržení požadavků v nich uvedených může vést k vyloučení dodavatele z </w:t>
      </w:r>
      <w:r>
        <w:rPr>
          <w:rFonts w:asciiTheme="minorHAnsi" w:hAnsiTheme="minorHAnsi" w:cs="Tahoma"/>
          <w:sz w:val="24"/>
          <w:lang w:val="cs-CZ"/>
        </w:rPr>
        <w:t>výběrového</w:t>
      </w:r>
      <w:r w:rsidRPr="00B84990">
        <w:rPr>
          <w:rFonts w:asciiTheme="minorHAnsi" w:hAnsiTheme="minorHAnsi" w:cs="Tahoma"/>
          <w:sz w:val="24"/>
        </w:rPr>
        <w:t xml:space="preserve"> řízení. </w:t>
      </w:r>
    </w:p>
    <w:p w:rsidR="000F2306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  <w:lang w:val="cs-CZ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>
        <w:rPr>
          <w:rFonts w:asciiTheme="minorHAnsi" w:hAnsiTheme="minorHAnsi" w:cstheme="minorHAnsi"/>
          <w:sz w:val="24"/>
          <w:szCs w:val="24"/>
        </w:rPr>
        <w:tab/>
      </w:r>
      <w:r w:rsidRPr="00BA1FA4">
        <w:rPr>
          <w:rFonts w:asciiTheme="minorHAnsi" w:hAnsiTheme="minorHAnsi" w:cs="Tahoma"/>
          <w:sz w:val="24"/>
        </w:rPr>
        <w:t>Obchodní podmínky</w:t>
      </w:r>
    </w:p>
    <w:p w:rsidR="000F2306" w:rsidRPr="00D20C2C" w:rsidRDefault="000F2306" w:rsidP="000F2306">
      <w:pPr>
        <w:pStyle w:val="PFI-odstavec"/>
        <w:rPr>
          <w:rFonts w:asciiTheme="minorHAnsi" w:hAnsiTheme="minorHAnsi" w:cs="Tahoma"/>
          <w:sz w:val="24"/>
          <w:lang w:val="cs-CZ"/>
        </w:rPr>
      </w:pPr>
      <w:r w:rsidRPr="00D20C2C">
        <w:rPr>
          <w:rFonts w:asciiTheme="minorHAnsi" w:hAnsiTheme="minorHAnsi" w:cs="Tahoma"/>
          <w:sz w:val="24"/>
          <w:lang w:val="cs-CZ"/>
        </w:rPr>
        <w:t>Obchodní podmínky zadavatele jsou stanoveny v návrhu smlouvy</w:t>
      </w:r>
      <w:r>
        <w:rPr>
          <w:rFonts w:asciiTheme="minorHAnsi" w:hAnsiTheme="minorHAnsi" w:cs="Tahoma"/>
          <w:sz w:val="24"/>
          <w:lang w:val="cs-CZ"/>
        </w:rPr>
        <w:t>.</w:t>
      </w:r>
      <w:r w:rsidRPr="00D20C2C">
        <w:rPr>
          <w:rFonts w:asciiTheme="minorHAnsi" w:hAnsiTheme="minorHAnsi" w:cs="Tahoma"/>
          <w:sz w:val="24"/>
          <w:lang w:val="cs-CZ"/>
        </w:rPr>
        <w:t xml:space="preserve"> Tento návrh smlouvy je pro </w:t>
      </w:r>
      <w:r>
        <w:rPr>
          <w:rFonts w:asciiTheme="minorHAnsi" w:hAnsiTheme="minorHAnsi" w:cs="Tahoma"/>
          <w:sz w:val="24"/>
          <w:lang w:val="cs-CZ"/>
        </w:rPr>
        <w:t>účastníky</w:t>
      </w:r>
      <w:r w:rsidRPr="00D20C2C">
        <w:rPr>
          <w:rFonts w:asciiTheme="minorHAnsi" w:hAnsiTheme="minorHAnsi" w:cs="Tahoma"/>
          <w:sz w:val="24"/>
          <w:lang w:val="cs-CZ"/>
        </w:rPr>
        <w:t xml:space="preserve"> závazný a nelze jej měnit. </w:t>
      </w:r>
      <w:r>
        <w:rPr>
          <w:rFonts w:asciiTheme="minorHAnsi" w:hAnsiTheme="minorHAnsi" w:cs="Tahoma"/>
          <w:sz w:val="24"/>
          <w:lang w:val="cs-CZ"/>
        </w:rPr>
        <w:t>Účastník</w:t>
      </w:r>
      <w:r w:rsidRPr="00D20C2C">
        <w:rPr>
          <w:rFonts w:asciiTheme="minorHAnsi" w:hAnsiTheme="minorHAnsi" w:cs="Tahoma"/>
          <w:sz w:val="24"/>
          <w:lang w:val="cs-CZ"/>
        </w:rPr>
        <w:t xml:space="preserve"> do návrhu smlouvy pouze doplní požadované identifikační údaje a údaje, které jsou předmětem hodnocení (cena). Návrh smlouvy podepsaný osobou oprávněnou jednat jménem či za </w:t>
      </w:r>
      <w:r>
        <w:rPr>
          <w:rFonts w:asciiTheme="minorHAnsi" w:hAnsiTheme="minorHAnsi" w:cs="Tahoma"/>
          <w:sz w:val="24"/>
          <w:lang w:val="cs-CZ"/>
        </w:rPr>
        <w:t>dodavatele</w:t>
      </w:r>
      <w:r w:rsidRPr="00D20C2C">
        <w:rPr>
          <w:rFonts w:asciiTheme="minorHAnsi" w:hAnsiTheme="minorHAnsi" w:cs="Tahoma"/>
          <w:sz w:val="24"/>
          <w:lang w:val="cs-CZ"/>
        </w:rPr>
        <w:t xml:space="preserve"> předloží </w:t>
      </w:r>
      <w:r>
        <w:rPr>
          <w:rFonts w:asciiTheme="minorHAnsi" w:hAnsiTheme="minorHAnsi" w:cs="Tahoma"/>
          <w:sz w:val="24"/>
          <w:lang w:val="cs-CZ"/>
        </w:rPr>
        <w:t>dodavatel</w:t>
      </w:r>
      <w:r w:rsidRPr="00D20C2C">
        <w:rPr>
          <w:rFonts w:asciiTheme="minorHAnsi" w:hAnsiTheme="minorHAnsi" w:cs="Tahoma"/>
          <w:sz w:val="24"/>
          <w:lang w:val="cs-CZ"/>
        </w:rPr>
        <w:t xml:space="preserve"> jako součást své nabídky. V případě, že nabídka bude podepsána zástupcem (zmocněncem), musí být originál této plné moci součástí nabídky. </w:t>
      </w:r>
    </w:p>
    <w:p w:rsidR="000F2306" w:rsidRPr="00D20C2C" w:rsidRDefault="000F2306" w:rsidP="000F2306">
      <w:pPr>
        <w:pStyle w:val="PFI-odstavec"/>
        <w:rPr>
          <w:rFonts w:asciiTheme="minorHAnsi" w:hAnsiTheme="minorHAnsi" w:cs="Tahoma"/>
          <w:sz w:val="24"/>
          <w:lang w:val="cs-CZ"/>
        </w:rPr>
      </w:pPr>
      <w:r w:rsidRPr="00D20C2C">
        <w:rPr>
          <w:rFonts w:asciiTheme="minorHAnsi" w:hAnsiTheme="minorHAnsi" w:cs="Tahoma"/>
          <w:sz w:val="24"/>
          <w:lang w:val="cs-CZ"/>
        </w:rPr>
        <w:t xml:space="preserve">V případě společné nabídky budou v návrhu smlouvy uvedeni všichni </w:t>
      </w:r>
      <w:r>
        <w:rPr>
          <w:rFonts w:asciiTheme="minorHAnsi" w:hAnsiTheme="minorHAnsi" w:cs="Tahoma"/>
          <w:sz w:val="24"/>
          <w:lang w:val="cs-CZ"/>
        </w:rPr>
        <w:t>dodavatelé</w:t>
      </w:r>
      <w:r w:rsidRPr="00D20C2C">
        <w:rPr>
          <w:rFonts w:asciiTheme="minorHAnsi" w:hAnsiTheme="minorHAnsi" w:cs="Tahoma"/>
          <w:sz w:val="24"/>
          <w:lang w:val="cs-CZ"/>
        </w:rPr>
        <w:t xml:space="preserve"> a návrh smlouvy bude podepsán osobami oprávněnými jednat za každého </w:t>
      </w:r>
      <w:r>
        <w:rPr>
          <w:rFonts w:asciiTheme="minorHAnsi" w:hAnsiTheme="minorHAnsi" w:cs="Tahoma"/>
          <w:sz w:val="24"/>
          <w:lang w:val="cs-CZ"/>
        </w:rPr>
        <w:t>dodavatele</w:t>
      </w:r>
      <w:r w:rsidRPr="00D20C2C">
        <w:rPr>
          <w:rFonts w:asciiTheme="minorHAnsi" w:hAnsiTheme="minorHAnsi" w:cs="Tahoma"/>
          <w:sz w:val="24"/>
          <w:lang w:val="cs-CZ"/>
        </w:rPr>
        <w:t xml:space="preserve"> nebo bude návrh smlouvy podepsán zmocněncem k podepisování společné nabídky a součástí bude originál této plné moci.</w:t>
      </w:r>
    </w:p>
    <w:p w:rsidR="000F2306" w:rsidRPr="00DF56E0" w:rsidRDefault="000F2306" w:rsidP="000F2306">
      <w:pPr>
        <w:tabs>
          <w:tab w:val="left" w:pos="9214"/>
        </w:tabs>
        <w:ind w:right="23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sz w:val="24"/>
          <w:szCs w:val="24"/>
        </w:rPr>
        <w:t>Formální požadavky na zpracování nabídky</w:t>
      </w:r>
    </w:p>
    <w:p w:rsidR="000F2306" w:rsidRPr="001738E2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požaduje, aby </w:t>
      </w:r>
      <w:r>
        <w:rPr>
          <w:rFonts w:asciiTheme="minorHAnsi" w:hAnsiTheme="minorHAnsi" w:cstheme="minorHAnsi"/>
          <w:sz w:val="24"/>
          <w:szCs w:val="24"/>
        </w:rPr>
        <w:t>účastník</w:t>
      </w:r>
      <w:r w:rsidRPr="001738E2">
        <w:rPr>
          <w:rFonts w:asciiTheme="minorHAnsi" w:hAnsiTheme="minorHAnsi" w:cstheme="minorHAnsi"/>
          <w:sz w:val="24"/>
          <w:szCs w:val="24"/>
        </w:rPr>
        <w:t xml:space="preserve"> podal svoji nabídku v českém jazyce, uzavřenou do jediné obálky, zabezpečené proti rozlepení. </w:t>
      </w:r>
    </w:p>
    <w:p w:rsidR="000F2306" w:rsidRPr="001738E2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Další požadavky na obsah nabídky:</w:t>
      </w:r>
    </w:p>
    <w:p w:rsidR="000F2306" w:rsidRPr="00DF56E0" w:rsidRDefault="000F2306" w:rsidP="000F2306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right="142" w:hanging="283"/>
        <w:jc w:val="both"/>
        <w:rPr>
          <w:rFonts w:asciiTheme="minorHAnsi" w:hAnsiTheme="minorHAnsi" w:cstheme="minorHAnsi"/>
          <w:sz w:val="24"/>
          <w:szCs w:val="24"/>
        </w:rPr>
      </w:pPr>
      <w:r w:rsidRPr="00DF56E0">
        <w:rPr>
          <w:rFonts w:asciiTheme="minorHAnsi" w:hAnsiTheme="minorHAnsi" w:cstheme="minorHAnsi"/>
          <w:sz w:val="24"/>
          <w:szCs w:val="24"/>
        </w:rPr>
        <w:t xml:space="preserve">Nabídka bude zpracována písemně v tištěné podobě v českém jazyce. </w:t>
      </w: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sz w:val="24"/>
          <w:szCs w:val="24"/>
        </w:rPr>
        <w:t>Způsob, doba a místo podání nabídek, zadávací lhůta</w:t>
      </w:r>
    </w:p>
    <w:p w:rsidR="000F2306" w:rsidRPr="00B35B75" w:rsidRDefault="000F2306" w:rsidP="000F2306">
      <w:pPr>
        <w:numPr>
          <w:ilvl w:val="0"/>
          <w:numId w:val="3"/>
        </w:numPr>
        <w:spacing w:after="120"/>
        <w:ind w:left="426" w:right="142" w:hanging="426"/>
        <w:jc w:val="both"/>
        <w:rPr>
          <w:rStyle w:val="okbasic21"/>
          <w:rFonts w:ascii="Calibri" w:hAnsi="Calibri"/>
        </w:rPr>
      </w:pPr>
      <w:r>
        <w:rPr>
          <w:rFonts w:asciiTheme="minorHAnsi" w:hAnsiTheme="minorHAnsi" w:cstheme="minorHAnsi"/>
          <w:sz w:val="24"/>
          <w:szCs w:val="24"/>
        </w:rPr>
        <w:t>Účastníci</w:t>
      </w:r>
      <w:r w:rsidRPr="001738E2">
        <w:rPr>
          <w:rFonts w:asciiTheme="minorHAnsi" w:hAnsiTheme="minorHAnsi" w:cstheme="minorHAnsi"/>
          <w:sz w:val="24"/>
          <w:szCs w:val="24"/>
        </w:rPr>
        <w:t xml:space="preserve"> podají písemnou nabídku v řádně uzavřené obálce, zabezpečené na přelepu proti otevření, a to buď doporučeně poštou na adresu zadavatele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738E2">
        <w:rPr>
          <w:rFonts w:asciiTheme="minorHAnsi" w:hAnsiTheme="minorHAnsi" w:cstheme="minorHAnsi"/>
          <w:sz w:val="24"/>
          <w:szCs w:val="24"/>
        </w:rPr>
        <w:t xml:space="preserve"> </w:t>
      </w:r>
      <w:r w:rsidRPr="001738E2">
        <w:rPr>
          <w:rFonts w:ascii="Calibri" w:hAnsi="Calibri" w:cs="Arial"/>
          <w:sz w:val="24"/>
          <w:szCs w:val="24"/>
        </w:rPr>
        <w:t>nebo osobně na stejnou adresu</w:t>
      </w:r>
      <w:r w:rsidRPr="001738E2">
        <w:rPr>
          <w:rStyle w:val="okbasic21"/>
          <w:rFonts w:ascii="Calibri" w:hAnsi="Calibri"/>
        </w:rPr>
        <w:t xml:space="preserve">. </w:t>
      </w:r>
    </w:p>
    <w:p w:rsidR="000F2306" w:rsidRPr="001738E2" w:rsidRDefault="000F2306" w:rsidP="000F2306">
      <w:pPr>
        <w:spacing w:after="120"/>
        <w:ind w:left="426" w:right="142"/>
        <w:jc w:val="both"/>
        <w:rPr>
          <w:rFonts w:ascii="Calibri" w:hAnsi="Calibri" w:cs="Arial"/>
          <w:sz w:val="24"/>
          <w:szCs w:val="24"/>
        </w:rPr>
      </w:pPr>
    </w:p>
    <w:p w:rsidR="000F2306" w:rsidRPr="001738E2" w:rsidRDefault="000F2306" w:rsidP="000F2306">
      <w:pPr>
        <w:numPr>
          <w:ilvl w:val="0"/>
          <w:numId w:val="3"/>
        </w:numPr>
        <w:spacing w:before="120"/>
        <w:ind w:left="426" w:right="142" w:hanging="426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t>Nabídka bude označena nápisem:</w:t>
      </w:r>
    </w:p>
    <w:p w:rsidR="000F2306" w:rsidRPr="00304DED" w:rsidRDefault="000F2306" w:rsidP="000F2306">
      <w:pPr>
        <w:tabs>
          <w:tab w:val="left" w:pos="3003"/>
        </w:tabs>
        <w:spacing w:before="120"/>
        <w:ind w:right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35D5" wp14:editId="00E7E388">
                <wp:simplePos x="0" y="0"/>
                <wp:positionH relativeFrom="column">
                  <wp:posOffset>538480</wp:posOffset>
                </wp:positionH>
                <wp:positionV relativeFrom="paragraph">
                  <wp:posOffset>84455</wp:posOffset>
                </wp:positionV>
                <wp:extent cx="5133975" cy="7524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320D4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NEOTEVÍRAT!</w:t>
                            </w:r>
                          </w:p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320D4">
                              <w:rPr>
                                <w:rFonts w:ascii="Calibri" w:hAnsi="Calibri" w:cs="Tahoma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Veřejná zakázka </w:t>
                            </w:r>
                            <w:r w:rsidRPr="002320D4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C533A2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odernizace strojního </w:t>
                            </w:r>
                            <w:proofErr w:type="gramStart"/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vybavení  na</w:t>
                            </w:r>
                            <w:proofErr w:type="gramEnd"/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zimní a letní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údržbu sportovišť – nákup multifunkčního stroje</w:t>
                            </w:r>
                          </w:p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pt;margin-top:6.65pt;width:40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tzKQIAAFA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">
                <v:textbox>
                  <w:txbxContent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  <w:r w:rsidRPr="002320D4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NEOTEVÍRAT!</w:t>
                      </w:r>
                    </w:p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  <w:r w:rsidRPr="002320D4">
                        <w:rPr>
                          <w:rFonts w:ascii="Calibri" w:hAnsi="Calibri" w:cs="Tahoma"/>
                          <w:b/>
                          <w:caps/>
                          <w:sz w:val="24"/>
                          <w:szCs w:val="24"/>
                        </w:rPr>
                        <w:t xml:space="preserve">Veřejná zakázka </w:t>
                      </w:r>
                      <w:r w:rsidRPr="002320D4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„</w:t>
                      </w:r>
                      <w:r w:rsidRPr="00C533A2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M</w:t>
                      </w:r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odernizace strojního </w:t>
                      </w:r>
                      <w:proofErr w:type="gramStart"/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vybavení  na</w:t>
                      </w:r>
                      <w:proofErr w:type="gramEnd"/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zimní a letní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údržbu sportovišť – nákup multifunkčního stroje</w:t>
                      </w:r>
                    </w:p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306" w:rsidRDefault="000F2306" w:rsidP="000F2306">
      <w:pPr>
        <w:spacing w:before="120" w:after="120"/>
        <w:ind w:left="425" w:right="142"/>
        <w:jc w:val="both"/>
        <w:rPr>
          <w:rFonts w:ascii="Calibri" w:hAnsi="Calibri" w:cs="Calibri"/>
          <w:sz w:val="24"/>
          <w:szCs w:val="24"/>
        </w:rPr>
      </w:pPr>
    </w:p>
    <w:p w:rsidR="000F2306" w:rsidRDefault="000F2306" w:rsidP="000F2306">
      <w:pPr>
        <w:pStyle w:val="Odstavecseseznamem"/>
        <w:rPr>
          <w:rFonts w:ascii="Calibri" w:hAnsi="Calibri" w:cs="Calibri"/>
        </w:rPr>
      </w:pPr>
    </w:p>
    <w:p w:rsidR="000F2306" w:rsidRPr="001738E2" w:rsidRDefault="000F2306" w:rsidP="000F2306">
      <w:pPr>
        <w:numPr>
          <w:ilvl w:val="0"/>
          <w:numId w:val="3"/>
        </w:numPr>
        <w:spacing w:before="120" w:after="120"/>
        <w:ind w:left="425" w:right="142" w:hanging="425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lastRenderedPageBreak/>
        <w:t xml:space="preserve">Nabídky podané po uplynutí lhůty pro podání nabídek komise neotevírá. Zadavatel o této skutečnosti bezodkladně vyrozumí </w:t>
      </w:r>
      <w:r>
        <w:rPr>
          <w:rFonts w:ascii="Calibri" w:hAnsi="Calibri" w:cs="Calibri"/>
          <w:sz w:val="24"/>
          <w:szCs w:val="24"/>
        </w:rPr>
        <w:t>účastníka</w:t>
      </w:r>
      <w:r w:rsidRPr="001738E2">
        <w:rPr>
          <w:rFonts w:ascii="Calibri" w:hAnsi="Calibri" w:cs="Calibri"/>
          <w:sz w:val="24"/>
          <w:szCs w:val="24"/>
        </w:rPr>
        <w:t>. Rozhodující je datum a čas přijetí nabídky podatelnou zadavatele.</w:t>
      </w:r>
    </w:p>
    <w:p w:rsidR="000F2306" w:rsidRDefault="000F2306" w:rsidP="000F2306">
      <w:pPr>
        <w:numPr>
          <w:ilvl w:val="0"/>
          <w:numId w:val="3"/>
        </w:numPr>
        <w:spacing w:after="120"/>
        <w:ind w:left="425" w:right="142" w:hanging="425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t xml:space="preserve">Lhůta pro podání nabídek končí </w:t>
      </w:r>
      <w:r>
        <w:rPr>
          <w:rFonts w:ascii="Calibri" w:hAnsi="Calibri" w:cs="Calibri"/>
          <w:sz w:val="24"/>
          <w:szCs w:val="24"/>
        </w:rPr>
        <w:t xml:space="preserve">06. 02. </w:t>
      </w:r>
      <w:r w:rsidRPr="001738E2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>8</w:t>
      </w:r>
      <w:r w:rsidRPr="001738E2">
        <w:rPr>
          <w:rFonts w:ascii="Calibri" w:hAnsi="Calibri" w:cs="Calibri"/>
          <w:sz w:val="24"/>
          <w:szCs w:val="24"/>
        </w:rPr>
        <w:t xml:space="preserve"> v 1</w:t>
      </w:r>
      <w:r>
        <w:rPr>
          <w:rFonts w:ascii="Calibri" w:hAnsi="Calibri" w:cs="Calibri"/>
          <w:sz w:val="24"/>
          <w:szCs w:val="24"/>
        </w:rPr>
        <w:t>2</w:t>
      </w:r>
      <w:r w:rsidRPr="001738E2">
        <w:rPr>
          <w:rFonts w:ascii="Calibri" w:hAnsi="Calibri" w:cs="Calibri"/>
          <w:sz w:val="24"/>
          <w:szCs w:val="24"/>
        </w:rPr>
        <w:t>:00 hod.</w:t>
      </w:r>
    </w:p>
    <w:p w:rsidR="000F2306" w:rsidRPr="001738E2" w:rsidRDefault="000F2306" w:rsidP="000F2306">
      <w:pPr>
        <w:ind w:left="425" w:right="142"/>
        <w:jc w:val="both"/>
        <w:rPr>
          <w:rFonts w:ascii="Calibri" w:hAnsi="Calibri" w:cs="Calibri"/>
          <w:sz w:val="24"/>
          <w:szCs w:val="24"/>
        </w:rPr>
      </w:pPr>
    </w:p>
    <w:p w:rsidR="000F2306" w:rsidRPr="002B3ED7" w:rsidRDefault="000F2306" w:rsidP="000F2306">
      <w:pPr>
        <w:ind w:right="142"/>
        <w:rPr>
          <w:rFonts w:ascii="Calibri" w:hAnsi="Calibri" w:cs="Calibri"/>
          <w:sz w:val="4"/>
          <w:szCs w:val="4"/>
        </w:rPr>
      </w:pPr>
    </w:p>
    <w:p w:rsidR="000F2306" w:rsidRPr="001738E2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bookmarkStart w:id="16" w:name="_Toc216084584"/>
      <w:bookmarkEnd w:id="15"/>
      <w:r>
        <w:rPr>
          <w:rFonts w:asciiTheme="minorHAnsi" w:hAnsiTheme="minorHAnsi" w:cstheme="minorHAnsi"/>
          <w:sz w:val="24"/>
          <w:szCs w:val="24"/>
        </w:rPr>
        <w:t>14.</w:t>
      </w:r>
      <w:r>
        <w:rPr>
          <w:rFonts w:asciiTheme="minorHAnsi" w:hAnsiTheme="minorHAnsi" w:cstheme="minorHAnsi"/>
          <w:sz w:val="24"/>
          <w:szCs w:val="24"/>
        </w:rPr>
        <w:tab/>
      </w:r>
      <w:r w:rsidRPr="001738E2">
        <w:rPr>
          <w:rFonts w:asciiTheme="minorHAnsi" w:hAnsiTheme="minorHAnsi" w:cstheme="minorHAnsi"/>
          <w:sz w:val="24"/>
          <w:szCs w:val="24"/>
        </w:rPr>
        <w:t>Ostatní ujednání</w:t>
      </w:r>
      <w:bookmarkEnd w:id="16"/>
    </w:p>
    <w:p w:rsidR="000F2306" w:rsidRPr="001738E2" w:rsidRDefault="000F2306" w:rsidP="000F2306">
      <w:pPr>
        <w:numPr>
          <w:ilvl w:val="0"/>
          <w:numId w:val="1"/>
        </w:num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nehradí </w:t>
      </w:r>
      <w:r>
        <w:rPr>
          <w:rFonts w:asciiTheme="minorHAnsi" w:hAnsiTheme="minorHAnsi" w:cstheme="minorHAnsi"/>
          <w:sz w:val="24"/>
          <w:szCs w:val="24"/>
        </w:rPr>
        <w:t>účastníkům</w:t>
      </w:r>
      <w:r w:rsidRPr="001738E2">
        <w:rPr>
          <w:rFonts w:asciiTheme="minorHAnsi" w:hAnsiTheme="minorHAnsi" w:cstheme="minorHAnsi"/>
          <w:sz w:val="24"/>
          <w:szCs w:val="24"/>
        </w:rPr>
        <w:t xml:space="preserve"> náklady vzniklé z účasti v řízení.</w:t>
      </w:r>
    </w:p>
    <w:p w:rsidR="000F2306" w:rsidRDefault="000F2306" w:rsidP="000F2306">
      <w:pPr>
        <w:numPr>
          <w:ilvl w:val="0"/>
          <w:numId w:val="1"/>
        </w:num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Až do projednání nabídek a do definitivního rozhodnutí zadavatele bude dodržena mlčenlivost o obsahu nabídek.</w:t>
      </w:r>
    </w:p>
    <w:p w:rsidR="000F2306" w:rsidRPr="001738E2" w:rsidRDefault="000F2306" w:rsidP="000F2306">
      <w:pPr>
        <w:numPr>
          <w:ilvl w:val="0"/>
          <w:numId w:val="1"/>
        </w:numPr>
        <w:tabs>
          <w:tab w:val="left" w:pos="850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Po uzavření smlouvy s vybraným dodavatelem je zadavatel povinen ve smyslu § 219 zákona zveřejnit na svém profilu </w:t>
      </w:r>
      <w:proofErr w:type="gramStart"/>
      <w:r w:rsidRPr="001738E2">
        <w:rPr>
          <w:rFonts w:asciiTheme="minorHAnsi" w:hAnsiTheme="minorHAnsi" w:cstheme="minorHAnsi"/>
          <w:sz w:val="24"/>
          <w:szCs w:val="24"/>
        </w:rPr>
        <w:t>zadavatele</w:t>
      </w:r>
      <w:proofErr w:type="gramEnd"/>
      <w:r w:rsidRPr="001738E2">
        <w:rPr>
          <w:rFonts w:asciiTheme="minorHAnsi" w:hAnsiTheme="minorHAnsi" w:cstheme="minorHAnsi"/>
          <w:sz w:val="24"/>
          <w:szCs w:val="24"/>
        </w:rPr>
        <w:t xml:space="preserve"> resp. v registru smluv text uzavřené smlouvy s vybraným dodavatelem, včetně jejích případných změn a dodatků. </w:t>
      </w:r>
    </w:p>
    <w:p w:rsidR="000F2306" w:rsidRPr="001738E2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si vyhrazuje právo před rozhodnutím o výběru nejvhodnější nabídky ověřit, případně vyjasnit informace deklarované </w:t>
      </w:r>
      <w:r>
        <w:rPr>
          <w:rFonts w:asciiTheme="minorHAnsi" w:hAnsiTheme="minorHAnsi" w:cstheme="minorHAnsi"/>
          <w:sz w:val="24"/>
          <w:szCs w:val="24"/>
        </w:rPr>
        <w:t>účastníky</w:t>
      </w:r>
      <w:r w:rsidRPr="001738E2">
        <w:rPr>
          <w:rFonts w:asciiTheme="minorHAnsi" w:hAnsiTheme="minorHAnsi" w:cstheme="minorHAnsi"/>
          <w:sz w:val="24"/>
          <w:szCs w:val="24"/>
        </w:rPr>
        <w:t xml:space="preserve"> v nabídkách.</w:t>
      </w:r>
    </w:p>
    <w:p w:rsidR="000F2306" w:rsidRPr="001738E2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Zadavatel si vyhrazuje právo z</w:t>
      </w:r>
      <w:r>
        <w:rPr>
          <w:rFonts w:asciiTheme="minorHAnsi" w:hAnsiTheme="minorHAnsi" w:cstheme="minorHAnsi"/>
          <w:sz w:val="24"/>
          <w:szCs w:val="24"/>
        </w:rPr>
        <w:t>rušit výběrové řízení</w:t>
      </w:r>
      <w:r w:rsidRPr="001738E2">
        <w:rPr>
          <w:rFonts w:asciiTheme="minorHAnsi" w:hAnsiTheme="minorHAnsi" w:cstheme="minorHAnsi"/>
          <w:sz w:val="24"/>
          <w:szCs w:val="24"/>
        </w:rPr>
        <w:t>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Nabídky, kopie ani jednotlivé součásti nabídek </w:t>
      </w:r>
      <w:r>
        <w:rPr>
          <w:rFonts w:asciiTheme="minorHAnsi" w:hAnsiTheme="minorHAnsi" w:cstheme="minorHAnsi"/>
          <w:sz w:val="24"/>
          <w:szCs w:val="24"/>
        </w:rPr>
        <w:t>účastníků</w:t>
      </w:r>
      <w:r w:rsidRPr="001738E2">
        <w:rPr>
          <w:rFonts w:asciiTheme="minorHAnsi" w:hAnsiTheme="minorHAnsi" w:cstheme="minorHAnsi"/>
          <w:sz w:val="24"/>
          <w:szCs w:val="24"/>
        </w:rPr>
        <w:t xml:space="preserve"> či vyloučených </w:t>
      </w:r>
      <w:r>
        <w:rPr>
          <w:rFonts w:asciiTheme="minorHAnsi" w:hAnsiTheme="minorHAnsi" w:cstheme="minorHAnsi"/>
          <w:sz w:val="24"/>
          <w:szCs w:val="24"/>
        </w:rPr>
        <w:t>účastníků</w:t>
      </w:r>
      <w:r w:rsidRPr="001738E2">
        <w:rPr>
          <w:rFonts w:asciiTheme="minorHAnsi" w:hAnsiTheme="minorHAnsi" w:cstheme="minorHAnsi"/>
          <w:sz w:val="24"/>
          <w:szCs w:val="24"/>
        </w:rPr>
        <w:t xml:space="preserve"> </w:t>
      </w:r>
      <w:r w:rsidRPr="00C427B3">
        <w:rPr>
          <w:rFonts w:asciiTheme="minorHAnsi" w:hAnsiTheme="minorHAnsi" w:cs="Tahoma"/>
          <w:sz w:val="24"/>
          <w:szCs w:val="24"/>
        </w:rPr>
        <w:t>nebudou vráceny.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266585">
        <w:rPr>
          <w:rFonts w:asciiTheme="minorHAnsi" w:hAnsiTheme="minorHAnsi" w:cs="Tahoma"/>
          <w:sz w:val="24"/>
          <w:szCs w:val="24"/>
        </w:rPr>
        <w:t>Podáním nabídky dodavatel souhlasí se zadávacími podmínkami této veřejné zakázky a bezvýhradně souhlasí se zveřejněním smlouvy v souladu s platnými právními předpisy.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266585">
        <w:rPr>
          <w:rFonts w:asciiTheme="minorHAnsi" w:hAnsiTheme="minorHAnsi" w:cs="Tahoma"/>
          <w:sz w:val="24"/>
          <w:szCs w:val="24"/>
        </w:rPr>
        <w:t>Zadavatel stanoví, že nedisponuje elektronickými prostředky, které by umožnily elektronické podání nabídky. Zadavatel tak stanoví, že nabídky mohou být podány pouze v listinné podobě.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467B2C">
        <w:rPr>
          <w:rFonts w:asciiTheme="minorHAnsi" w:hAnsiTheme="minorHAnsi" w:cs="Tahoma"/>
          <w:sz w:val="24"/>
          <w:szCs w:val="24"/>
        </w:rPr>
        <w:t xml:space="preserve">Zadavatel nepřipouští do konce lhůty pro podání nabídek zveřejnění jmen a adres účastníků </w:t>
      </w:r>
      <w:r>
        <w:rPr>
          <w:rFonts w:asciiTheme="minorHAnsi" w:hAnsiTheme="minorHAnsi" w:cs="Tahoma"/>
          <w:sz w:val="24"/>
          <w:szCs w:val="24"/>
        </w:rPr>
        <w:t>výběrového</w:t>
      </w:r>
      <w:r w:rsidRPr="00467B2C">
        <w:rPr>
          <w:rFonts w:asciiTheme="minorHAnsi" w:hAnsiTheme="minorHAnsi" w:cs="Tahoma"/>
          <w:sz w:val="24"/>
          <w:szCs w:val="24"/>
        </w:rPr>
        <w:t xml:space="preserve"> řízení. Zadavatel nepřipouští variantní řešení. Zadavatel si vyhrazuje právo na změnu, upřesnění, doplnění podmínek </w:t>
      </w:r>
      <w:r>
        <w:rPr>
          <w:rFonts w:asciiTheme="minorHAnsi" w:hAnsiTheme="minorHAnsi" w:cs="Tahoma"/>
          <w:sz w:val="24"/>
          <w:szCs w:val="24"/>
        </w:rPr>
        <w:t>výběrového</w:t>
      </w:r>
      <w:r w:rsidRPr="00467B2C">
        <w:rPr>
          <w:rFonts w:asciiTheme="minorHAnsi" w:hAnsiTheme="minorHAnsi" w:cs="Tahoma"/>
          <w:sz w:val="24"/>
          <w:szCs w:val="24"/>
        </w:rPr>
        <w:t xml:space="preserve"> řízení nebo jejího zrušení v souladu se zákonem, popřípadě nevybrat žádného z </w:t>
      </w:r>
      <w:r>
        <w:rPr>
          <w:rFonts w:asciiTheme="minorHAnsi" w:hAnsiTheme="minorHAnsi" w:cs="Tahoma"/>
          <w:sz w:val="24"/>
          <w:szCs w:val="24"/>
        </w:rPr>
        <w:t>dodavatelů</w:t>
      </w:r>
      <w:r w:rsidRPr="00467B2C">
        <w:rPr>
          <w:rFonts w:asciiTheme="minorHAnsi" w:hAnsiTheme="minorHAnsi" w:cs="Tahoma"/>
          <w:sz w:val="24"/>
          <w:szCs w:val="24"/>
        </w:rPr>
        <w:t xml:space="preserve">. Zadavatel si vyhrazuje právo o smlouvě o poskytování služeb dále jednat a upřesnit její konečné znění v rámci nabídnutých podmínek </w:t>
      </w:r>
      <w:r>
        <w:rPr>
          <w:rFonts w:asciiTheme="minorHAnsi" w:hAnsiTheme="minorHAnsi" w:cs="Tahoma"/>
          <w:sz w:val="24"/>
          <w:szCs w:val="24"/>
        </w:rPr>
        <w:t>účastníkem</w:t>
      </w:r>
      <w:r w:rsidRPr="00467B2C">
        <w:rPr>
          <w:rFonts w:asciiTheme="minorHAnsi" w:hAnsiTheme="minorHAnsi" w:cs="Tahoma"/>
          <w:sz w:val="24"/>
          <w:szCs w:val="24"/>
        </w:rPr>
        <w:t xml:space="preserve">. 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Účastníci</w:t>
      </w:r>
      <w:r w:rsidRPr="00467B2C">
        <w:rPr>
          <w:rFonts w:asciiTheme="minorHAnsi" w:hAnsiTheme="minorHAnsi" w:cs="Tahoma"/>
          <w:sz w:val="24"/>
          <w:szCs w:val="24"/>
        </w:rPr>
        <w:t xml:space="preserve"> nemají nárok na úhradu nákladů spojených s účastí na veřejné zakázce. Zadavatel si vyhrazuje právo průběžně upravovat harmonogram a platební kalendář v závislosti na uvolňování finančních prostředků. Zadavatel si vyhrazuje právo zakázku rozdělit na dílčí plnění, resp. rozsah zakázky omezit. 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467B2C">
        <w:rPr>
          <w:rFonts w:asciiTheme="minorHAnsi" w:hAnsiTheme="minorHAnsi" w:cs="Tahoma"/>
          <w:sz w:val="24"/>
          <w:szCs w:val="24"/>
        </w:rPr>
        <w:t xml:space="preserve">Zadavatel si vyhrazuje právo odstoupit od smlouvy uzavřené s vybraným </w:t>
      </w:r>
      <w:r>
        <w:rPr>
          <w:rFonts w:asciiTheme="minorHAnsi" w:hAnsiTheme="minorHAnsi" w:cs="Tahoma"/>
          <w:sz w:val="24"/>
          <w:szCs w:val="24"/>
        </w:rPr>
        <w:t>dodavatelem</w:t>
      </w:r>
      <w:r w:rsidRPr="00467B2C">
        <w:rPr>
          <w:rFonts w:asciiTheme="minorHAnsi" w:hAnsiTheme="minorHAnsi" w:cs="Tahoma"/>
          <w:sz w:val="24"/>
          <w:szCs w:val="24"/>
        </w:rPr>
        <w:t xml:space="preserve"> v případě, že nebudou zajištěny majetkoprávní a užívací vztahy k pozemkům dotčeným nebo nutným k realizaci plnění. Zhotovitel ručí za práce prováděné jeho subdodavateli, tak jako by je prováděl on sám.</w:t>
      </w:r>
    </w:p>
    <w:p w:rsidR="000F2306" w:rsidRDefault="000F2306" w:rsidP="000F2306">
      <w:pPr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Březiněvsi</w:t>
      </w:r>
      <w:r w:rsidRPr="00D741D5">
        <w:rPr>
          <w:rFonts w:ascii="Calibri" w:hAnsi="Calibri" w:cs="Calibri"/>
          <w:sz w:val="24"/>
          <w:szCs w:val="24"/>
        </w:rPr>
        <w:t xml:space="preserve"> dne </w:t>
      </w:r>
      <w:r>
        <w:rPr>
          <w:rFonts w:ascii="Calibri" w:hAnsi="Calibri" w:cs="Calibri"/>
          <w:sz w:val="24"/>
          <w:szCs w:val="24"/>
        </w:rPr>
        <w:t>22.01.2018</w:t>
      </w:r>
    </w:p>
    <w:p w:rsidR="000F2306" w:rsidRPr="00D741D5" w:rsidRDefault="000F2306" w:rsidP="000F2306">
      <w:pPr>
        <w:ind w:left="284"/>
        <w:jc w:val="right"/>
        <w:rPr>
          <w:rFonts w:ascii="Calibri" w:hAnsi="Calibri" w:cs="Calibri"/>
          <w:sz w:val="24"/>
          <w:szCs w:val="24"/>
        </w:rPr>
      </w:pPr>
      <w:r w:rsidRPr="00D741D5">
        <w:rPr>
          <w:rFonts w:ascii="Calibri" w:hAnsi="Calibri" w:cs="Calibri"/>
          <w:sz w:val="24"/>
          <w:szCs w:val="24"/>
        </w:rPr>
        <w:t xml:space="preserve">Městská část Praha – </w:t>
      </w:r>
      <w:r>
        <w:rPr>
          <w:rFonts w:ascii="Calibri" w:hAnsi="Calibri" w:cs="Calibri"/>
          <w:sz w:val="24"/>
          <w:szCs w:val="24"/>
        </w:rPr>
        <w:t>Březiněves</w:t>
      </w:r>
    </w:p>
    <w:p w:rsidR="00167059" w:rsidRDefault="000F2306" w:rsidP="00C32175">
      <w:pPr>
        <w:ind w:left="284"/>
        <w:jc w:val="right"/>
      </w:pPr>
      <w:r>
        <w:rPr>
          <w:rFonts w:ascii="Calibri" w:hAnsi="Calibri" w:cs="Calibri"/>
          <w:sz w:val="24"/>
          <w:szCs w:val="24"/>
        </w:rPr>
        <w:t>Ing. Jiří Haramul, starosta</w:t>
      </w:r>
      <w:bookmarkStart w:id="17" w:name="_GoBack"/>
      <w:bookmarkEnd w:id="17"/>
    </w:p>
    <w:sectPr w:rsidR="0016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EE4"/>
    <w:multiLevelType w:val="hybridMultilevel"/>
    <w:tmpl w:val="1046B0BC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7D208FB"/>
    <w:multiLevelType w:val="hybridMultilevel"/>
    <w:tmpl w:val="73B8F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0382"/>
    <w:multiLevelType w:val="multilevel"/>
    <w:tmpl w:val="9D1CDE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91E6EBE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E14C7"/>
    <w:multiLevelType w:val="hybridMultilevel"/>
    <w:tmpl w:val="927AF8E8"/>
    <w:lvl w:ilvl="0" w:tplc="92F8D23A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3AA6"/>
    <w:multiLevelType w:val="hybridMultilevel"/>
    <w:tmpl w:val="42AC311E"/>
    <w:lvl w:ilvl="0" w:tplc="53AE99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6"/>
    <w:rsid w:val="000F2306"/>
    <w:rsid w:val="00135A49"/>
    <w:rsid w:val="00167059"/>
    <w:rsid w:val="00C3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D1EE-D6D8-41A7-8DFF-A4F2C87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230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0F2306"/>
    <w:pPr>
      <w:keepNext/>
      <w:outlineLvl w:val="0"/>
    </w:pPr>
    <w:rPr>
      <w:rFonts w:ascii="Times New Roman" w:hAnsi="Times New Roman"/>
      <w:b/>
      <w:sz w:val="32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0F2306"/>
    <w:pPr>
      <w:keepNext/>
      <w:jc w:val="both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3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0F2306"/>
    <w:rPr>
      <w:rFonts w:ascii="Arial" w:eastAsia="Times New Roman" w:hAnsi="Arial" w:cs="Times New Roman"/>
      <w:b/>
      <w:bCs/>
      <w:sz w:val="20"/>
      <w:szCs w:val="24"/>
    </w:rPr>
  </w:style>
  <w:style w:type="character" w:styleId="Hypertextovodkaz">
    <w:name w:val="Hyperlink"/>
    <w:rsid w:val="000F230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0F2306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306"/>
    <w:rPr>
      <w:rFonts w:ascii="Arial" w:eastAsia="Times New Roman" w:hAnsi="Arial" w:cs="Times New Roman"/>
      <w:sz w:val="24"/>
      <w:szCs w:val="24"/>
    </w:rPr>
  </w:style>
  <w:style w:type="paragraph" w:styleId="Bezmezer">
    <w:name w:val="No Spacing"/>
    <w:uiPriority w:val="1"/>
    <w:qFormat/>
    <w:rsid w:val="000F230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F2306"/>
    <w:pPr>
      <w:ind w:left="708"/>
    </w:pPr>
    <w:rPr>
      <w:rFonts w:ascii="Times New Roman" w:hAnsi="Times New Roman"/>
      <w:sz w:val="24"/>
      <w:szCs w:val="24"/>
    </w:rPr>
  </w:style>
  <w:style w:type="character" w:customStyle="1" w:styleId="okbasic21">
    <w:name w:val="okbasic21"/>
    <w:rsid w:val="000F2306"/>
    <w:rPr>
      <w:rFonts w:ascii="Arial" w:hAnsi="Arial" w:cs="Arial" w:hint="default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F2306"/>
    <w:rPr>
      <w:rFonts w:ascii="Times New Roman" w:eastAsia="Times New Roman" w:hAnsi="Times New Roman" w:cs="Times New Roman"/>
      <w:sz w:val="24"/>
      <w:szCs w:val="24"/>
    </w:rPr>
  </w:style>
  <w:style w:type="paragraph" w:customStyle="1" w:styleId="PFI-odstavec">
    <w:name w:val="PFI-odstavec"/>
    <w:basedOn w:val="Normln"/>
    <w:link w:val="PFI-odstavecChar"/>
    <w:uiPriority w:val="99"/>
    <w:rsid w:val="000F2306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val="x-none" w:eastAsia="ar-SA"/>
    </w:rPr>
  </w:style>
  <w:style w:type="character" w:customStyle="1" w:styleId="PFI-odstavecChar">
    <w:name w:val="PFI-odstavec Char"/>
    <w:link w:val="PFI-odstavec"/>
    <w:uiPriority w:val="99"/>
    <w:rsid w:val="000F2306"/>
    <w:rPr>
      <w:rFonts w:ascii="Heuristica" w:eastAsia="Times New Roman" w:hAnsi="Heuristica" w:cs="Times New Roman"/>
      <w:szCs w:val="24"/>
      <w:lang w:val="x-none" w:eastAsia="ar-SA"/>
    </w:rPr>
  </w:style>
  <w:style w:type="paragraph" w:customStyle="1" w:styleId="Zkladntext21">
    <w:name w:val="Základní text 21"/>
    <w:basedOn w:val="Normln"/>
    <w:rsid w:val="000F2306"/>
    <w:pPr>
      <w:tabs>
        <w:tab w:val="num" w:pos="720"/>
      </w:tabs>
      <w:ind w:left="720" w:hanging="720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haramul@brezinev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3</cp:revision>
  <dcterms:created xsi:type="dcterms:W3CDTF">2018-08-22T16:31:00Z</dcterms:created>
  <dcterms:modified xsi:type="dcterms:W3CDTF">2018-10-22T14:24:00Z</dcterms:modified>
</cp:coreProperties>
</file>